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1FC09">
      <w:pPr>
        <w:jc w:val="center"/>
        <w:rPr>
          <w:rFonts w:hint="eastAsia" w:ascii="宋体" w:hAnsi="宋体" w:cs="宋体"/>
          <w:b/>
          <w:sz w:val="44"/>
          <w:szCs w:val="44"/>
        </w:rPr>
      </w:pPr>
      <w:r>
        <w:rPr>
          <w:rFonts w:ascii="宋体" w:hAnsi="宋体" w:cs="宋体"/>
          <w:b/>
          <w:sz w:val="44"/>
          <w:szCs w:val="44"/>
        </w:rPr>
        <w:t>赤峰金通铜业有限公司</w:t>
      </w:r>
    </w:p>
    <w:p w14:paraId="7CE05166">
      <w:pPr>
        <w:jc w:val="center"/>
        <w:rPr>
          <w:rFonts w:hint="eastAsia" w:ascii="宋体" w:hAnsi="宋体" w:cs="宋体"/>
          <w:sz w:val="44"/>
          <w:szCs w:val="44"/>
        </w:rPr>
      </w:pPr>
      <w:r>
        <w:rPr>
          <w:rFonts w:hint="eastAsia" w:ascii="宋体" w:hAnsi="宋体" w:cs="宋体"/>
          <w:b/>
          <w:sz w:val="44"/>
          <w:szCs w:val="44"/>
          <w:lang w:val="en-US" w:eastAsia="zh-CN"/>
        </w:rPr>
        <w:t>2025年</w:t>
      </w:r>
      <w:r>
        <w:rPr>
          <w:rFonts w:ascii="宋体" w:hAnsi="宋体" w:cs="宋体"/>
          <w:b/>
          <w:sz w:val="44"/>
          <w:szCs w:val="44"/>
        </w:rPr>
        <w:t>废气在线监测设备运维</w:t>
      </w:r>
    </w:p>
    <w:p w14:paraId="2F4C6603">
      <w:pPr>
        <w:jc w:val="center"/>
        <w:rPr>
          <w:rFonts w:hint="eastAsia" w:ascii="宋体" w:hAnsi="宋体" w:cs="宋体"/>
          <w:spacing w:val="40"/>
          <w:sz w:val="72"/>
          <w:szCs w:val="72"/>
        </w:rPr>
      </w:pPr>
    </w:p>
    <w:p w14:paraId="5363FD45">
      <w:pPr>
        <w:rPr>
          <w:rFonts w:hint="eastAsia" w:ascii="宋体" w:hAnsi="宋体" w:cs="宋体"/>
          <w:b/>
          <w:sz w:val="30"/>
          <w:szCs w:val="30"/>
        </w:rPr>
      </w:pPr>
    </w:p>
    <w:p w14:paraId="37EE823E">
      <w:pPr>
        <w:jc w:val="center"/>
        <w:rPr>
          <w:rFonts w:hint="eastAsia" w:ascii="宋体" w:hAnsi="宋体" w:cs="宋体"/>
          <w:b/>
          <w:sz w:val="96"/>
          <w:szCs w:val="96"/>
        </w:rPr>
      </w:pPr>
      <w:r>
        <w:rPr>
          <w:rFonts w:ascii="宋体" w:hAnsi="宋体" w:cs="宋体"/>
          <w:b/>
          <w:sz w:val="96"/>
          <w:szCs w:val="96"/>
        </w:rPr>
        <w:t>招　标　文　件</w:t>
      </w:r>
    </w:p>
    <w:p w14:paraId="7C397599">
      <w:pPr>
        <w:rPr>
          <w:rFonts w:hint="eastAsia" w:ascii="宋体" w:hAnsi="宋体" w:cs="宋体"/>
          <w:sz w:val="32"/>
          <w:szCs w:val="32"/>
        </w:rPr>
      </w:pPr>
    </w:p>
    <w:p w14:paraId="40815919">
      <w:pPr>
        <w:jc w:val="center"/>
        <w:rPr>
          <w:rFonts w:hint="eastAsia" w:ascii="宋体" w:hAnsi="宋体" w:cs="宋体"/>
          <w:b/>
          <w:sz w:val="32"/>
          <w:szCs w:val="32"/>
        </w:rPr>
      </w:pPr>
    </w:p>
    <w:p w14:paraId="2BDB3D0A">
      <w:pPr>
        <w:jc w:val="center"/>
        <w:rPr>
          <w:rFonts w:hint="eastAsia" w:ascii="宋体" w:hAnsi="宋体" w:cs="宋体"/>
          <w:b/>
          <w:sz w:val="32"/>
          <w:szCs w:val="32"/>
        </w:rPr>
      </w:pPr>
    </w:p>
    <w:p w14:paraId="55CDD276">
      <w:pPr>
        <w:jc w:val="center"/>
        <w:rPr>
          <w:rFonts w:hint="eastAsia" w:ascii="宋体" w:hAnsi="宋体" w:cs="宋体"/>
          <w:b/>
          <w:sz w:val="32"/>
          <w:szCs w:val="32"/>
        </w:rPr>
      </w:pPr>
    </w:p>
    <w:p w14:paraId="4CAE775A">
      <w:pPr>
        <w:jc w:val="center"/>
        <w:rPr>
          <w:rFonts w:hint="eastAsia" w:ascii="宋体" w:hAnsi="宋体" w:cs="宋体"/>
          <w:b/>
          <w:sz w:val="32"/>
          <w:szCs w:val="32"/>
        </w:rPr>
      </w:pPr>
    </w:p>
    <w:p w14:paraId="03844364">
      <w:pPr>
        <w:jc w:val="center"/>
        <w:rPr>
          <w:rFonts w:hint="eastAsia" w:ascii="宋体" w:hAnsi="宋体" w:cs="宋体"/>
          <w:b/>
          <w:sz w:val="32"/>
          <w:szCs w:val="32"/>
        </w:rPr>
      </w:pPr>
    </w:p>
    <w:p w14:paraId="350797C7">
      <w:pPr>
        <w:jc w:val="center"/>
        <w:rPr>
          <w:rFonts w:hint="eastAsia" w:ascii="宋体" w:hAnsi="宋体" w:cs="宋体"/>
          <w:sz w:val="32"/>
        </w:rPr>
      </w:pPr>
    </w:p>
    <w:p w14:paraId="2B6F2CC2">
      <w:pPr>
        <w:spacing w:line="360" w:lineRule="auto"/>
        <w:ind w:firstLine="527"/>
        <w:rPr>
          <w:rFonts w:hint="eastAsia" w:ascii="宋体" w:hAnsi="宋体" w:cs="宋体"/>
          <w:b/>
          <w:sz w:val="32"/>
          <w:szCs w:val="32"/>
        </w:rPr>
      </w:pPr>
    </w:p>
    <w:p w14:paraId="44797E42">
      <w:pPr>
        <w:spacing w:line="360" w:lineRule="auto"/>
        <w:rPr>
          <w:rFonts w:hint="eastAsia" w:ascii="宋体" w:hAnsi="宋体" w:cs="宋体"/>
          <w:b/>
          <w:sz w:val="32"/>
          <w:szCs w:val="32"/>
        </w:rPr>
      </w:pPr>
    </w:p>
    <w:p w14:paraId="7CF6A6FC">
      <w:pPr>
        <w:spacing w:line="360" w:lineRule="auto"/>
        <w:rPr>
          <w:rFonts w:hint="eastAsia" w:ascii="宋体" w:hAnsi="宋体" w:cs="宋体"/>
          <w:b/>
          <w:sz w:val="32"/>
          <w:szCs w:val="32"/>
        </w:rPr>
      </w:pPr>
    </w:p>
    <w:p w14:paraId="7D1AFA2E">
      <w:pPr>
        <w:spacing w:line="360" w:lineRule="auto"/>
        <w:rPr>
          <w:rFonts w:hint="eastAsia" w:ascii="宋体" w:hAnsi="宋体" w:cs="宋体"/>
          <w:b/>
          <w:sz w:val="32"/>
          <w:szCs w:val="32"/>
        </w:rPr>
      </w:pPr>
    </w:p>
    <w:p w14:paraId="7C61FEAD">
      <w:pPr>
        <w:spacing w:line="360" w:lineRule="auto"/>
        <w:rPr>
          <w:rFonts w:hint="eastAsia" w:ascii="宋体" w:hAnsi="宋体" w:cs="宋体"/>
          <w:b/>
          <w:sz w:val="32"/>
          <w:szCs w:val="32"/>
        </w:rPr>
      </w:pPr>
    </w:p>
    <w:p w14:paraId="6CD8DD90">
      <w:pPr>
        <w:spacing w:line="360" w:lineRule="auto"/>
        <w:jc w:val="center"/>
        <w:rPr>
          <w:rFonts w:hint="eastAsia" w:ascii="宋体" w:hAnsi="宋体" w:cs="宋体"/>
          <w:b/>
          <w:sz w:val="32"/>
          <w:szCs w:val="32"/>
        </w:rPr>
      </w:pPr>
      <w:bookmarkStart w:id="0" w:name="_Toc37569493"/>
      <w:bookmarkStart w:id="1" w:name="_Toc37331055"/>
      <w:bookmarkStart w:id="2" w:name="_Toc37331012"/>
      <w:bookmarkStart w:id="3" w:name="_Toc38947771"/>
      <w:bookmarkStart w:id="4" w:name="_Toc37663365"/>
      <w:bookmarkStart w:id="5" w:name="_Toc37581393"/>
      <w:bookmarkStart w:id="6" w:name="_Toc37245250"/>
      <w:r>
        <w:rPr>
          <w:rFonts w:ascii="宋体" w:hAnsi="宋体" w:cs="宋体"/>
          <w:b/>
          <w:sz w:val="32"/>
          <w:szCs w:val="32"/>
        </w:rPr>
        <w:t>招标人（盖章）：赤峰金通铜业有限公司</w:t>
      </w:r>
      <w:bookmarkEnd w:id="0"/>
      <w:bookmarkEnd w:id="1"/>
      <w:bookmarkEnd w:id="2"/>
      <w:bookmarkEnd w:id="3"/>
      <w:bookmarkEnd w:id="4"/>
      <w:bookmarkEnd w:id="5"/>
      <w:bookmarkEnd w:id="6"/>
    </w:p>
    <w:p w14:paraId="30AEB0AE">
      <w:pPr>
        <w:spacing w:line="360" w:lineRule="auto"/>
        <w:jc w:val="both"/>
        <w:rPr>
          <w:rFonts w:hint="eastAsia" w:ascii="宋体" w:hAnsi="宋体" w:cs="宋体"/>
          <w:b/>
          <w:sz w:val="32"/>
          <w:szCs w:val="32"/>
        </w:rPr>
      </w:pPr>
    </w:p>
    <w:p w14:paraId="56203238">
      <w:pPr>
        <w:spacing w:line="360" w:lineRule="auto"/>
        <w:jc w:val="center"/>
        <w:rPr>
          <w:rFonts w:hint="eastAsia" w:ascii="宋体" w:hAnsi="宋体" w:cs="宋体"/>
          <w:b/>
          <w:sz w:val="32"/>
          <w:szCs w:val="32"/>
        </w:rPr>
      </w:pPr>
      <w:r>
        <w:rPr>
          <w:rFonts w:ascii="宋体" w:hAnsi="宋体" w:cs="宋体"/>
          <w:b/>
          <w:sz w:val="32"/>
          <w:szCs w:val="32"/>
        </w:rPr>
        <w:t>二○二四年十</w:t>
      </w:r>
      <w:r>
        <w:rPr>
          <w:rFonts w:hint="eastAsia" w:ascii="宋体" w:hAnsi="宋体" w:cs="宋体"/>
          <w:b/>
          <w:sz w:val="32"/>
          <w:szCs w:val="32"/>
          <w:lang w:val="en-US" w:eastAsia="zh-CN"/>
        </w:rPr>
        <w:t>二</w:t>
      </w:r>
      <w:r>
        <w:rPr>
          <w:rFonts w:ascii="宋体" w:hAnsi="宋体" w:cs="宋体"/>
          <w:b/>
          <w:sz w:val="32"/>
          <w:szCs w:val="32"/>
        </w:rPr>
        <w:t>月</w:t>
      </w:r>
    </w:p>
    <w:p w14:paraId="777415C8">
      <w:pPr>
        <w:pStyle w:val="2"/>
        <w:ind w:firstLine="643"/>
        <w:rPr>
          <w:rFonts w:hint="eastAsia" w:ascii="宋体" w:hAnsi="宋体" w:cs="宋体"/>
          <w:b/>
          <w:color w:val="auto"/>
          <w:sz w:val="32"/>
          <w:szCs w:val="32"/>
        </w:rPr>
      </w:pPr>
    </w:p>
    <w:p w14:paraId="7E432B05">
      <w:pPr>
        <w:spacing w:line="360" w:lineRule="auto"/>
        <w:jc w:val="center"/>
        <w:rPr>
          <w:rFonts w:ascii="Arial" w:hAnsi="Arial" w:cs="Arial"/>
          <w:b/>
          <w:sz w:val="30"/>
          <w:szCs w:val="30"/>
        </w:rPr>
      </w:pPr>
      <w:r>
        <w:rPr>
          <w:rFonts w:ascii="Arial" w:hAnsi="Arial" w:cs="Arial"/>
          <w:b/>
          <w:sz w:val="30"/>
          <w:szCs w:val="30"/>
        </w:rPr>
        <w:t>目      录</w:t>
      </w:r>
    </w:p>
    <w:p w14:paraId="782487DA">
      <w:pPr>
        <w:jc w:val="center"/>
        <w:rPr>
          <w:rFonts w:ascii="Arial" w:hAnsi="Arial" w:cs="Arial"/>
          <w:sz w:val="30"/>
          <w:szCs w:val="30"/>
        </w:rPr>
      </w:pPr>
    </w:p>
    <w:p w14:paraId="5FB00DB5">
      <w:pPr>
        <w:rPr>
          <w:sz w:val="28"/>
          <w:szCs w:val="28"/>
        </w:rPr>
      </w:pPr>
    </w:p>
    <w:p w14:paraId="6DFA2879">
      <w:pPr>
        <w:rPr>
          <w:rFonts w:hint="eastAsia" w:ascii="宋体" w:hAnsi="宋体"/>
          <w:sz w:val="28"/>
          <w:szCs w:val="28"/>
        </w:rPr>
      </w:pPr>
      <w:r>
        <w:rPr>
          <w:sz w:val="28"/>
          <w:szCs w:val="28"/>
        </w:rPr>
        <w:t>第一章  招标须知</w:t>
      </w:r>
      <w:r>
        <w:rPr>
          <w:rFonts w:ascii="宋体" w:hAnsi="宋体"/>
          <w:sz w:val="28"/>
          <w:szCs w:val="28"/>
        </w:rPr>
        <w:t>‥‥‥‥‥‥‥‥‥‥‥‥‥‥‥‥‥‥‥‥‥3</w:t>
      </w:r>
    </w:p>
    <w:p w14:paraId="1CD61115">
      <w:pPr>
        <w:rPr>
          <w:sz w:val="28"/>
          <w:szCs w:val="28"/>
        </w:rPr>
      </w:pPr>
    </w:p>
    <w:p w14:paraId="0E707854">
      <w:pPr>
        <w:rPr>
          <w:sz w:val="28"/>
          <w:szCs w:val="28"/>
        </w:rPr>
      </w:pPr>
      <w:r>
        <w:rPr>
          <w:sz w:val="28"/>
          <w:szCs w:val="28"/>
        </w:rPr>
        <w:t>第二章  投标须携带的文件格式</w:t>
      </w:r>
      <w:r>
        <w:rPr>
          <w:rFonts w:ascii="宋体" w:hAnsi="宋体"/>
          <w:sz w:val="28"/>
          <w:szCs w:val="28"/>
        </w:rPr>
        <w:t>‥‥‥‥‥‥‥‥‥‥‥‥‥‥‥9</w:t>
      </w:r>
    </w:p>
    <w:p w14:paraId="2954B25D"/>
    <w:p w14:paraId="124F5AC2">
      <w:pPr>
        <w:rPr>
          <w:b/>
          <w:bCs/>
          <w:kern w:val="2"/>
          <w:sz w:val="24"/>
        </w:rPr>
      </w:pPr>
    </w:p>
    <w:p w14:paraId="1B450E0D">
      <w:pPr>
        <w:pStyle w:val="2"/>
        <w:ind w:firstLine="643"/>
        <w:rPr>
          <w:rFonts w:hint="eastAsia" w:ascii="宋体" w:hAnsi="宋体" w:cs="宋体"/>
          <w:b/>
          <w:color w:val="auto"/>
          <w:sz w:val="32"/>
          <w:szCs w:val="32"/>
        </w:rPr>
      </w:pPr>
    </w:p>
    <w:p w14:paraId="0947EFE8">
      <w:pPr>
        <w:pStyle w:val="2"/>
        <w:ind w:firstLine="643"/>
        <w:rPr>
          <w:rFonts w:hint="eastAsia" w:ascii="宋体" w:hAnsi="宋体" w:cs="宋体"/>
          <w:b/>
          <w:color w:val="auto"/>
          <w:sz w:val="32"/>
          <w:szCs w:val="32"/>
        </w:rPr>
      </w:pPr>
    </w:p>
    <w:p w14:paraId="3E16A3BD">
      <w:pPr>
        <w:pStyle w:val="2"/>
        <w:ind w:firstLine="643"/>
        <w:rPr>
          <w:rFonts w:hint="eastAsia" w:ascii="宋体" w:hAnsi="宋体" w:cs="宋体"/>
          <w:b/>
          <w:color w:val="auto"/>
          <w:sz w:val="32"/>
          <w:szCs w:val="32"/>
        </w:rPr>
      </w:pPr>
    </w:p>
    <w:p w14:paraId="701EF3BB">
      <w:pPr>
        <w:pStyle w:val="2"/>
        <w:ind w:firstLine="643"/>
        <w:rPr>
          <w:rFonts w:hint="eastAsia" w:ascii="宋体" w:hAnsi="宋体" w:cs="宋体"/>
          <w:b/>
          <w:color w:val="auto"/>
          <w:sz w:val="32"/>
          <w:szCs w:val="32"/>
        </w:rPr>
      </w:pPr>
    </w:p>
    <w:p w14:paraId="5E073651">
      <w:pPr>
        <w:pStyle w:val="2"/>
        <w:ind w:firstLine="643"/>
        <w:rPr>
          <w:rFonts w:hint="eastAsia" w:ascii="宋体" w:hAnsi="宋体" w:cs="宋体"/>
          <w:b/>
          <w:color w:val="auto"/>
          <w:sz w:val="32"/>
          <w:szCs w:val="32"/>
        </w:rPr>
      </w:pPr>
    </w:p>
    <w:p w14:paraId="20D0EC6E">
      <w:pPr>
        <w:pStyle w:val="2"/>
        <w:ind w:firstLine="643"/>
        <w:rPr>
          <w:rFonts w:hint="eastAsia" w:ascii="宋体" w:hAnsi="宋体" w:cs="宋体"/>
          <w:b/>
          <w:color w:val="auto"/>
          <w:sz w:val="32"/>
          <w:szCs w:val="32"/>
        </w:rPr>
      </w:pPr>
    </w:p>
    <w:p w14:paraId="7386E69F">
      <w:pPr>
        <w:pStyle w:val="2"/>
        <w:ind w:firstLine="643"/>
        <w:rPr>
          <w:rFonts w:hint="eastAsia" w:ascii="宋体" w:hAnsi="宋体" w:cs="宋体"/>
          <w:b/>
          <w:color w:val="auto"/>
          <w:sz w:val="32"/>
          <w:szCs w:val="32"/>
        </w:rPr>
      </w:pPr>
    </w:p>
    <w:p w14:paraId="548458DC">
      <w:pPr>
        <w:pStyle w:val="2"/>
        <w:ind w:firstLine="643"/>
        <w:rPr>
          <w:rFonts w:hint="eastAsia" w:ascii="宋体" w:hAnsi="宋体" w:cs="宋体"/>
          <w:b/>
          <w:color w:val="auto"/>
          <w:sz w:val="32"/>
          <w:szCs w:val="32"/>
        </w:rPr>
      </w:pPr>
    </w:p>
    <w:p w14:paraId="5867BB39">
      <w:pPr>
        <w:pStyle w:val="2"/>
        <w:ind w:firstLine="643"/>
        <w:rPr>
          <w:rFonts w:hint="eastAsia" w:ascii="宋体" w:hAnsi="宋体" w:cs="宋体"/>
          <w:b/>
          <w:color w:val="auto"/>
          <w:sz w:val="32"/>
          <w:szCs w:val="32"/>
        </w:rPr>
      </w:pPr>
    </w:p>
    <w:p w14:paraId="3D68ECD5">
      <w:pPr>
        <w:pStyle w:val="2"/>
        <w:ind w:firstLine="643"/>
        <w:rPr>
          <w:rFonts w:hint="eastAsia" w:ascii="宋体" w:hAnsi="宋体" w:cs="宋体"/>
          <w:b/>
          <w:color w:val="auto"/>
          <w:sz w:val="32"/>
          <w:szCs w:val="32"/>
        </w:rPr>
      </w:pPr>
    </w:p>
    <w:p w14:paraId="6B862515">
      <w:pPr>
        <w:pStyle w:val="2"/>
        <w:ind w:firstLine="643"/>
        <w:rPr>
          <w:rFonts w:hint="eastAsia" w:ascii="宋体" w:hAnsi="宋体" w:cs="宋体"/>
          <w:b/>
          <w:color w:val="auto"/>
          <w:sz w:val="32"/>
          <w:szCs w:val="32"/>
        </w:rPr>
      </w:pPr>
    </w:p>
    <w:p w14:paraId="74980A19">
      <w:pPr>
        <w:pStyle w:val="2"/>
        <w:ind w:firstLine="643"/>
        <w:rPr>
          <w:rFonts w:hint="eastAsia" w:ascii="宋体" w:hAnsi="宋体" w:cs="宋体"/>
          <w:b/>
          <w:color w:val="auto"/>
          <w:sz w:val="32"/>
          <w:szCs w:val="32"/>
        </w:rPr>
      </w:pPr>
    </w:p>
    <w:p w14:paraId="17D8CF4E">
      <w:pPr>
        <w:pStyle w:val="2"/>
        <w:ind w:firstLine="643"/>
        <w:rPr>
          <w:rFonts w:hint="eastAsia" w:ascii="宋体" w:hAnsi="宋体" w:cs="宋体"/>
          <w:b/>
          <w:color w:val="auto"/>
          <w:sz w:val="32"/>
          <w:szCs w:val="32"/>
        </w:rPr>
      </w:pPr>
    </w:p>
    <w:p w14:paraId="26DD9667">
      <w:pPr>
        <w:jc w:val="both"/>
        <w:rPr>
          <w:rFonts w:ascii="Arial" w:hAnsi="Arial" w:cs="Arial"/>
          <w:b/>
          <w:bCs/>
          <w:kern w:val="2"/>
          <w:sz w:val="32"/>
          <w:szCs w:val="32"/>
        </w:rPr>
      </w:pPr>
    </w:p>
    <w:p w14:paraId="2171CE85">
      <w:pPr>
        <w:pStyle w:val="3"/>
        <w:numPr>
          <w:ilvl w:val="0"/>
          <w:numId w:val="0"/>
        </w:numPr>
        <w:tabs>
          <w:tab w:val="center" w:pos="4592"/>
        </w:tabs>
        <w:spacing w:before="0" w:after="0" w:line="360" w:lineRule="auto"/>
        <w:rPr>
          <w:rFonts w:ascii="Arial" w:hAnsi="Arial" w:cs="Arial"/>
          <w:sz w:val="32"/>
          <w:szCs w:val="32"/>
        </w:rPr>
      </w:pPr>
      <w:bookmarkStart w:id="7" w:name="_Toc168395423"/>
      <w:bookmarkStart w:id="8" w:name="_Toc243662703"/>
      <w:r>
        <w:rPr>
          <w:rFonts w:ascii="Arial" w:hAnsi="Arial" w:cs="Arial"/>
          <w:sz w:val="32"/>
          <w:szCs w:val="32"/>
        </w:rPr>
        <w:tab/>
      </w:r>
      <w:r>
        <w:rPr>
          <w:rFonts w:ascii="Arial" w:hAnsi="Arial" w:cs="Arial"/>
          <w:sz w:val="32"/>
          <w:szCs w:val="32"/>
        </w:rPr>
        <w:t>第一章   招标须知</w:t>
      </w:r>
      <w:bookmarkEnd w:id="7"/>
      <w:bookmarkEnd w:id="8"/>
    </w:p>
    <w:p w14:paraId="44A6BD5F">
      <w:pPr>
        <w:spacing w:line="360" w:lineRule="auto"/>
        <w:rPr>
          <w:rFonts w:ascii="Arial" w:hAnsi="Arial" w:cs="Arial"/>
          <w:sz w:val="24"/>
          <w:szCs w:val="24"/>
        </w:rPr>
      </w:pPr>
      <w:r>
        <w:rPr>
          <w:rFonts w:ascii="Arial" w:hAnsi="Arial" w:cs="Arial"/>
          <w:sz w:val="24"/>
          <w:szCs w:val="24"/>
        </w:rPr>
        <w:t>一、项目情况说明</w:t>
      </w:r>
    </w:p>
    <w:p w14:paraId="133AE234">
      <w:pPr>
        <w:spacing w:line="360" w:lineRule="auto"/>
        <w:ind w:firstLine="480"/>
        <w:rPr>
          <w:rFonts w:hint="eastAsia" w:ascii="宋体" w:hAnsi="宋体" w:cs="宋体"/>
          <w:sz w:val="24"/>
          <w:szCs w:val="24"/>
        </w:rPr>
      </w:pPr>
      <w:bookmarkStart w:id="9" w:name="工程说明"/>
      <w:bookmarkEnd w:id="9"/>
      <w:bookmarkStart w:id="10" w:name="_Toc5645972"/>
      <w:bookmarkEnd w:id="10"/>
      <w:r>
        <w:rPr>
          <w:rFonts w:ascii="Arial" w:hAnsi="Arial" w:cs="Arial"/>
          <w:sz w:val="24"/>
          <w:szCs w:val="24"/>
        </w:rPr>
        <w:t>1.1  项目名称：</w:t>
      </w:r>
      <w:r>
        <w:rPr>
          <w:sz w:val="24"/>
          <w:szCs w:val="24"/>
        </w:rPr>
        <w:t>赤峰金通铜业有限公司废气在线监测系统运维项目</w:t>
      </w:r>
    </w:p>
    <w:p w14:paraId="10CC7C20">
      <w:pPr>
        <w:spacing w:line="360" w:lineRule="auto"/>
        <w:ind w:firstLine="480"/>
        <w:rPr>
          <w:rFonts w:ascii="Arial" w:hAnsi="Arial" w:cs="Arial"/>
          <w:sz w:val="24"/>
          <w:szCs w:val="24"/>
        </w:rPr>
      </w:pPr>
      <w:r>
        <w:rPr>
          <w:rFonts w:ascii="Arial" w:hAnsi="Arial" w:cs="Arial"/>
          <w:sz w:val="24"/>
          <w:szCs w:val="24"/>
        </w:rPr>
        <w:t>1.2  项目概况：</w:t>
      </w:r>
    </w:p>
    <w:p w14:paraId="1BC3435A">
      <w:pPr>
        <w:spacing w:line="360" w:lineRule="auto"/>
        <w:ind w:firstLine="480"/>
        <w:rPr>
          <w:sz w:val="24"/>
          <w:szCs w:val="24"/>
        </w:rPr>
      </w:pPr>
      <w:r>
        <w:rPr>
          <w:sz w:val="24"/>
          <w:szCs w:val="24"/>
        </w:rPr>
        <w:t>赤峰金通铜业有限公司</w:t>
      </w:r>
      <w:r>
        <w:rPr>
          <w:rFonts w:hint="eastAsia"/>
          <w:sz w:val="24"/>
          <w:szCs w:val="24"/>
        </w:rPr>
        <w:t>废气在线监测系统运维</w:t>
      </w:r>
    </w:p>
    <w:p w14:paraId="1EB32B7F">
      <w:pPr>
        <w:spacing w:line="360" w:lineRule="auto"/>
        <w:ind w:firstLine="480"/>
        <w:rPr>
          <w:rFonts w:hint="default" w:cs="Times New Roman"/>
          <w:sz w:val="24"/>
          <w:lang w:val="en-US" w:eastAsia="zh-CN"/>
        </w:rPr>
      </w:pPr>
      <w:r>
        <w:rPr>
          <w:rFonts w:ascii="Arial" w:hAnsi="Arial" w:cs="Arial"/>
          <w:sz w:val="24"/>
          <w:szCs w:val="24"/>
        </w:rPr>
        <w:t>1.3  招标范围：</w:t>
      </w:r>
      <w:r>
        <w:rPr>
          <w:sz w:val="24"/>
          <w:szCs w:val="24"/>
        </w:rPr>
        <w:t>赤峰金通铜业有限公司铜冶炼工艺升级搬迁改造项目生产线2套废气在线监测设备</w:t>
      </w:r>
      <w:r>
        <w:rPr>
          <w:rFonts w:hint="eastAsia"/>
          <w:sz w:val="24"/>
          <w:szCs w:val="24"/>
          <w:lang w:eastAsia="zh-CN"/>
        </w:rPr>
        <w:t>，</w:t>
      </w:r>
      <w:r>
        <w:rPr>
          <w:sz w:val="24"/>
          <w:szCs w:val="24"/>
        </w:rPr>
        <w:t>2025年运行维护项目</w:t>
      </w:r>
      <w:r>
        <w:rPr>
          <w:rFonts w:hint="eastAsia"/>
          <w:sz w:val="24"/>
          <w:szCs w:val="24"/>
          <w:lang w:eastAsia="zh-CN"/>
        </w:rPr>
        <w:t>，</w:t>
      </w:r>
      <w:r>
        <w:rPr>
          <w:rFonts w:hint="eastAsia"/>
          <w:sz w:val="24"/>
          <w:szCs w:val="24"/>
          <w:lang w:val="en-US" w:eastAsia="zh-CN"/>
        </w:rPr>
        <w:t>锦州华冠在线设备一套，设备型号YQ-2002G,雪迪龙在线设备一套，设备型号</w:t>
      </w:r>
      <w:r>
        <w:rPr>
          <w:rFonts w:ascii="Times New Roman" w:hAnsi="Times New Roman" w:cs="Times New Roman"/>
          <w:sz w:val="24"/>
        </w:rPr>
        <w:t>SCS-900</w:t>
      </w:r>
      <w:r>
        <w:rPr>
          <w:rFonts w:hint="eastAsia" w:cs="Times New Roman"/>
          <w:sz w:val="24"/>
          <w:lang w:eastAsia="zh-CN"/>
        </w:rPr>
        <w:t>，</w:t>
      </w:r>
      <w:r>
        <w:rPr>
          <w:rFonts w:hint="eastAsia" w:cs="Times New Roman"/>
          <w:sz w:val="24"/>
          <w:lang w:val="en-US" w:eastAsia="zh-CN"/>
        </w:rPr>
        <w:t>现有一台雪迪龙在线设备正在安装中，待验收合格后更改为两套雪迪龙在线设备（预计2025年2月）运维。</w:t>
      </w:r>
    </w:p>
    <w:p w14:paraId="7ED0623F">
      <w:pPr>
        <w:spacing w:line="360" w:lineRule="auto"/>
        <w:ind w:firstLine="480"/>
        <w:rPr>
          <w:rFonts w:ascii="Arial" w:hAnsi="Arial" w:cs="Arial"/>
          <w:sz w:val="24"/>
          <w:szCs w:val="24"/>
        </w:rPr>
      </w:pPr>
      <w:r>
        <w:rPr>
          <w:rFonts w:ascii="Arial" w:hAnsi="Arial" w:cs="Arial"/>
          <w:sz w:val="24"/>
          <w:szCs w:val="24"/>
        </w:rPr>
        <w:t>1.4  项目服务要求：</w:t>
      </w:r>
    </w:p>
    <w:p w14:paraId="232C5FF1">
      <w:pPr>
        <w:spacing w:line="360" w:lineRule="auto"/>
        <w:ind w:firstLine="480"/>
        <w:rPr>
          <w:rFonts w:ascii="Arial" w:hAnsi="Arial" w:cs="Arial"/>
          <w:sz w:val="24"/>
          <w:szCs w:val="24"/>
        </w:rPr>
      </w:pPr>
      <w:r>
        <w:rPr>
          <w:rFonts w:ascii="Arial" w:hAnsi="Arial" w:cs="Arial"/>
          <w:sz w:val="24"/>
          <w:szCs w:val="24"/>
        </w:rPr>
        <w:t>主要工作内容为：</w:t>
      </w:r>
    </w:p>
    <w:p w14:paraId="34622F1E">
      <w:pPr>
        <w:spacing w:line="360" w:lineRule="auto"/>
        <w:ind w:firstLine="480"/>
        <w:rPr>
          <w:sz w:val="24"/>
          <w:szCs w:val="24"/>
        </w:rPr>
      </w:pPr>
      <w:r>
        <w:rPr>
          <w:sz w:val="24"/>
          <w:szCs w:val="24"/>
        </w:rPr>
        <w:t>按照国家最新相关法律法规的要求对废气在线监测设备进行运维，</w:t>
      </w:r>
      <w:r>
        <w:rPr>
          <w:rFonts w:hint="eastAsia"/>
          <w:sz w:val="24"/>
          <w:szCs w:val="24"/>
          <w:lang w:val="en-US" w:eastAsia="zh-CN"/>
        </w:rPr>
        <w:t xml:space="preserve">运维内容满足固定污染源烟气排放连续监测技术规范 (HJ 75-2007 )  </w:t>
      </w:r>
      <w:r>
        <w:rPr>
          <w:sz w:val="24"/>
          <w:szCs w:val="24"/>
        </w:rPr>
        <w:t>运维期限2025年1月1日到2025年12月31日。</w:t>
      </w:r>
    </w:p>
    <w:tbl>
      <w:tblPr>
        <w:tblStyle w:val="12"/>
        <w:tblpPr w:leftFromText="180" w:rightFromText="180" w:vertAnchor="text" w:horzAnchor="page" w:tblpX="2200" w:tblpY="21"/>
        <w:tblW w:w="7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16"/>
        <w:gridCol w:w="1245"/>
        <w:gridCol w:w="1249"/>
        <w:gridCol w:w="2322"/>
      </w:tblGrid>
      <w:tr w14:paraId="409E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76" w:type="dxa"/>
            <w:vAlign w:val="center"/>
          </w:tcPr>
          <w:p w14:paraId="052E051B">
            <w:pPr>
              <w:widowControl w:val="0"/>
              <w:spacing w:before="0" w:after="0"/>
              <w:jc w:val="both"/>
              <w:rPr>
                <w:rFonts w:ascii="宋体" w:hAnsi="宋体" w:cs="Calibri"/>
                <w:spacing w:val="-20"/>
                <w:sz w:val="24"/>
                <w:szCs w:val="24"/>
              </w:rPr>
            </w:pPr>
            <w:r>
              <w:rPr>
                <w:rFonts w:ascii="宋体" w:hAnsi="宋体" w:cs="Calibri"/>
                <w:spacing w:val="-20"/>
                <w:kern w:val="0"/>
                <w:sz w:val="24"/>
                <w:szCs w:val="24"/>
                <w:lang w:val="en-US" w:eastAsia="zh-CN" w:bidi="ar-SA"/>
              </w:rPr>
              <w:t>项目名称</w:t>
            </w:r>
          </w:p>
        </w:tc>
        <w:tc>
          <w:tcPr>
            <w:tcW w:w="1316" w:type="dxa"/>
            <w:vAlign w:val="center"/>
          </w:tcPr>
          <w:p w14:paraId="4843DAC1">
            <w:pPr>
              <w:widowControl w:val="0"/>
              <w:spacing w:before="0" w:after="0"/>
              <w:jc w:val="both"/>
              <w:rPr>
                <w:rFonts w:ascii="宋体" w:hAnsi="宋体" w:cs="Calibri"/>
                <w:spacing w:val="-20"/>
                <w:sz w:val="24"/>
                <w:szCs w:val="24"/>
              </w:rPr>
            </w:pPr>
            <w:r>
              <w:rPr>
                <w:rFonts w:ascii="宋体" w:hAnsi="宋体" w:cs="Calibri"/>
                <w:bCs/>
                <w:spacing w:val="-20"/>
                <w:kern w:val="0"/>
                <w:sz w:val="24"/>
                <w:szCs w:val="24"/>
                <w:lang w:val="en-US" w:eastAsia="zh-CN" w:bidi="ar-SA"/>
              </w:rPr>
              <w:t>设备名称</w:t>
            </w:r>
          </w:p>
        </w:tc>
        <w:tc>
          <w:tcPr>
            <w:tcW w:w="1245" w:type="dxa"/>
            <w:vAlign w:val="center"/>
          </w:tcPr>
          <w:p w14:paraId="21A71DD4">
            <w:pPr>
              <w:widowControl w:val="0"/>
              <w:spacing w:before="0" w:after="0"/>
              <w:jc w:val="both"/>
              <w:rPr>
                <w:rFonts w:ascii="宋体" w:hAnsi="宋体" w:cs="Calibri"/>
                <w:spacing w:val="-20"/>
                <w:sz w:val="24"/>
                <w:szCs w:val="24"/>
              </w:rPr>
            </w:pPr>
            <w:r>
              <w:rPr>
                <w:rFonts w:ascii="宋体" w:hAnsi="宋体" w:cs="Calibri"/>
                <w:spacing w:val="-20"/>
                <w:kern w:val="0"/>
                <w:sz w:val="24"/>
                <w:szCs w:val="24"/>
                <w:lang w:val="en-US" w:eastAsia="zh-CN" w:bidi="ar-SA"/>
              </w:rPr>
              <w:t>数量（套）</w:t>
            </w:r>
          </w:p>
        </w:tc>
        <w:tc>
          <w:tcPr>
            <w:tcW w:w="1249" w:type="dxa"/>
            <w:vAlign w:val="center"/>
          </w:tcPr>
          <w:p w14:paraId="5D6AA8CC">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服务期限</w:t>
            </w:r>
          </w:p>
        </w:tc>
        <w:tc>
          <w:tcPr>
            <w:tcW w:w="2322" w:type="dxa"/>
            <w:vAlign w:val="center"/>
          </w:tcPr>
          <w:p w14:paraId="711701C0">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备注</w:t>
            </w:r>
          </w:p>
        </w:tc>
      </w:tr>
      <w:tr w14:paraId="4AF7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76" w:type="dxa"/>
            <w:vMerge w:val="restart"/>
            <w:vAlign w:val="center"/>
          </w:tcPr>
          <w:p w14:paraId="50E3181F">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2025年废气在线运行维护项目</w:t>
            </w:r>
          </w:p>
        </w:tc>
        <w:tc>
          <w:tcPr>
            <w:tcW w:w="1316" w:type="dxa"/>
            <w:vAlign w:val="center"/>
          </w:tcPr>
          <w:p w14:paraId="0F78137C">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环集烟气连续监测系统（SCS-900）</w:t>
            </w:r>
          </w:p>
        </w:tc>
        <w:tc>
          <w:tcPr>
            <w:tcW w:w="1245" w:type="dxa"/>
            <w:vAlign w:val="center"/>
          </w:tcPr>
          <w:p w14:paraId="08E72AD9">
            <w:pPr>
              <w:widowControl w:val="0"/>
              <w:spacing w:before="0" w:after="0"/>
              <w:ind w:firstLine="489" w:firstLineChars="0"/>
              <w:jc w:val="both"/>
              <w:rPr>
                <w:rFonts w:hint="eastAsia" w:ascii="Calibri" w:hAnsi="Calibri" w:cs="Calibri" w:eastAsiaTheme="minorEastAsia"/>
                <w:sz w:val="24"/>
                <w:szCs w:val="24"/>
                <w:lang w:val="en-US" w:eastAsia="zh-CN"/>
              </w:rPr>
            </w:pPr>
            <w:r>
              <w:rPr>
                <w:rFonts w:hint="eastAsia" w:ascii="Calibri" w:hAnsi="Calibri" w:cs="Calibri"/>
                <w:sz w:val="24"/>
                <w:szCs w:val="24"/>
                <w:lang w:val="en-US" w:eastAsia="zh-CN"/>
              </w:rPr>
              <w:t>1</w:t>
            </w:r>
          </w:p>
        </w:tc>
        <w:tc>
          <w:tcPr>
            <w:tcW w:w="3571" w:type="dxa"/>
            <w:gridSpan w:val="2"/>
            <w:vMerge w:val="restart"/>
            <w:vAlign w:val="center"/>
          </w:tcPr>
          <w:p w14:paraId="027EB694">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1年</w:t>
            </w:r>
            <w:r>
              <w:rPr>
                <w:rFonts w:hint="eastAsia" w:ascii="宋体" w:hAnsi="宋体" w:cs="Calibri"/>
                <w:spacing w:val="-20"/>
                <w:kern w:val="0"/>
                <w:sz w:val="24"/>
                <w:szCs w:val="24"/>
                <w:lang w:val="en-US" w:eastAsia="zh-CN" w:bidi="ar-SA"/>
              </w:rPr>
              <w:t>（运维</w:t>
            </w:r>
            <w:bookmarkStart w:id="27" w:name="_GoBack"/>
            <w:bookmarkEnd w:id="27"/>
            <w:r>
              <w:rPr>
                <w:rFonts w:hint="eastAsia" w:ascii="宋体" w:hAnsi="宋体" w:cs="Calibri"/>
                <w:spacing w:val="-20"/>
                <w:kern w:val="0"/>
                <w:sz w:val="24"/>
                <w:szCs w:val="24"/>
                <w:lang w:val="en-US" w:eastAsia="zh-CN" w:bidi="ar-SA"/>
              </w:rPr>
              <w:t>）</w:t>
            </w:r>
          </w:p>
        </w:tc>
      </w:tr>
      <w:tr w14:paraId="760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76" w:type="dxa"/>
            <w:vMerge w:val="continue"/>
            <w:vAlign w:val="center"/>
          </w:tcPr>
          <w:p w14:paraId="69ACEA26">
            <w:pPr>
              <w:widowControl w:val="0"/>
              <w:spacing w:before="0" w:after="0"/>
              <w:jc w:val="center"/>
              <w:rPr>
                <w:rFonts w:ascii="宋体" w:hAnsi="宋体" w:cs="Calibri"/>
                <w:spacing w:val="-20"/>
                <w:sz w:val="24"/>
                <w:szCs w:val="24"/>
              </w:rPr>
            </w:pPr>
          </w:p>
        </w:tc>
        <w:tc>
          <w:tcPr>
            <w:tcW w:w="1316" w:type="dxa"/>
            <w:vAlign w:val="center"/>
          </w:tcPr>
          <w:p w14:paraId="02FD5880">
            <w:pPr>
              <w:widowControl w:val="0"/>
              <w:spacing w:before="0" w:after="0"/>
              <w:jc w:val="center"/>
              <w:rPr>
                <w:rFonts w:ascii="宋体" w:hAnsi="宋体" w:cs="Calibri"/>
                <w:spacing w:val="-20"/>
                <w:sz w:val="24"/>
                <w:szCs w:val="24"/>
              </w:rPr>
            </w:pPr>
            <w:r>
              <w:rPr>
                <w:rFonts w:ascii="宋体" w:hAnsi="宋体" w:cs="Calibri"/>
                <w:spacing w:val="-20"/>
                <w:kern w:val="0"/>
                <w:sz w:val="24"/>
                <w:szCs w:val="24"/>
                <w:lang w:val="en-US" w:eastAsia="zh-CN" w:bidi="ar-SA"/>
              </w:rPr>
              <w:t>硫酸尾气连续监测系统（YQ-2002G）</w:t>
            </w:r>
          </w:p>
        </w:tc>
        <w:tc>
          <w:tcPr>
            <w:tcW w:w="1245" w:type="dxa"/>
            <w:vAlign w:val="center"/>
          </w:tcPr>
          <w:p w14:paraId="2BCA7157">
            <w:pPr>
              <w:widowControl w:val="0"/>
              <w:spacing w:before="0" w:after="0"/>
              <w:ind w:firstLine="594" w:firstLineChars="0"/>
              <w:jc w:val="left"/>
              <w:rPr>
                <w:rFonts w:hint="eastAsia" w:ascii="Calibri" w:hAnsi="Calibri" w:cs="Calibri" w:eastAsiaTheme="minorEastAsia"/>
                <w:sz w:val="24"/>
                <w:szCs w:val="24"/>
                <w:lang w:val="en-US" w:eastAsia="zh-CN"/>
              </w:rPr>
            </w:pPr>
            <w:r>
              <w:rPr>
                <w:rFonts w:hint="eastAsia" w:ascii="Calibri" w:hAnsi="Calibri" w:cs="Calibri"/>
                <w:sz w:val="24"/>
                <w:szCs w:val="24"/>
                <w:lang w:val="en-US" w:eastAsia="zh-CN"/>
              </w:rPr>
              <w:t>1</w:t>
            </w:r>
          </w:p>
        </w:tc>
        <w:tc>
          <w:tcPr>
            <w:tcW w:w="3571" w:type="dxa"/>
            <w:gridSpan w:val="2"/>
            <w:vMerge w:val="continue"/>
            <w:vAlign w:val="center"/>
          </w:tcPr>
          <w:p w14:paraId="6347D661">
            <w:pPr>
              <w:widowControl w:val="0"/>
              <w:spacing w:before="0" w:after="0"/>
              <w:jc w:val="center"/>
              <w:rPr>
                <w:rFonts w:ascii="宋体" w:hAnsi="宋体" w:cs="Calibri"/>
                <w:spacing w:val="-20"/>
                <w:sz w:val="24"/>
                <w:szCs w:val="24"/>
              </w:rPr>
            </w:pPr>
          </w:p>
        </w:tc>
      </w:tr>
    </w:tbl>
    <w:p w14:paraId="6D09D183">
      <w:pPr>
        <w:spacing w:line="360" w:lineRule="auto"/>
        <w:jc w:val="both"/>
        <w:rPr>
          <w:rFonts w:ascii="Arial" w:hAnsi="Arial" w:cs="Arial"/>
          <w:sz w:val="24"/>
          <w:szCs w:val="24"/>
        </w:rPr>
      </w:pPr>
    </w:p>
    <w:p w14:paraId="05621976">
      <w:pPr>
        <w:spacing w:line="360" w:lineRule="auto"/>
        <w:jc w:val="both"/>
        <w:rPr>
          <w:rFonts w:ascii="Arial" w:hAnsi="Arial" w:cs="Arial"/>
          <w:sz w:val="24"/>
          <w:szCs w:val="24"/>
        </w:rPr>
      </w:pPr>
      <w:r>
        <w:rPr>
          <w:rFonts w:ascii="Arial" w:hAnsi="Arial" w:cs="Arial"/>
          <w:sz w:val="24"/>
          <w:szCs w:val="24"/>
        </w:rPr>
        <w:t>二、合同名称：</w:t>
      </w:r>
      <w:r>
        <w:rPr>
          <w:rFonts w:ascii="宋体" w:hAnsi="宋体" w:cs="宋体"/>
          <w:sz w:val="24"/>
          <w:szCs w:val="24"/>
        </w:rPr>
        <w:t>赤峰金通铜业有限公司</w:t>
      </w:r>
      <w:r>
        <w:rPr>
          <w:sz w:val="24"/>
          <w:szCs w:val="24"/>
        </w:rPr>
        <w:t>废气在线监测设备运维</w:t>
      </w:r>
      <w:r>
        <w:rPr>
          <w:rFonts w:ascii="宋体" w:hAnsi="宋体" w:cs="宋体"/>
          <w:sz w:val="24"/>
          <w:szCs w:val="24"/>
        </w:rPr>
        <w:t>合同</w:t>
      </w:r>
    </w:p>
    <w:p w14:paraId="57C83888">
      <w:pPr>
        <w:spacing w:line="360" w:lineRule="auto"/>
        <w:jc w:val="both"/>
        <w:rPr>
          <w:rFonts w:ascii="Arial" w:hAnsi="Arial" w:cs="Arial"/>
          <w:sz w:val="24"/>
          <w:szCs w:val="24"/>
        </w:rPr>
      </w:pPr>
      <w:r>
        <w:rPr>
          <w:rFonts w:ascii="Arial" w:hAnsi="Arial" w:cs="Arial"/>
          <w:sz w:val="24"/>
          <w:szCs w:val="24"/>
        </w:rPr>
        <w:t>三、招标方式</w:t>
      </w:r>
    </w:p>
    <w:p w14:paraId="582860A7">
      <w:pPr>
        <w:spacing w:line="360" w:lineRule="auto"/>
        <w:ind w:firstLine="480"/>
        <w:rPr>
          <w:rFonts w:hint="eastAsia" w:ascii="宋体" w:hAnsi="宋体" w:cs="宋体"/>
          <w:sz w:val="24"/>
          <w:szCs w:val="24"/>
        </w:rPr>
      </w:pPr>
      <w:r>
        <w:rPr>
          <w:rFonts w:ascii="宋体" w:hAnsi="宋体" w:cs="宋体"/>
          <w:sz w:val="24"/>
          <w:szCs w:val="24"/>
        </w:rPr>
        <w:t>本次招标将按照“公开、公平、公正”的原则进行，以选择资质条件较好、执业水平较高的废气在线设备运维机构，以较低的成本和良好的服务，高效优质完成本项目的2025年度运维工作。</w:t>
      </w:r>
    </w:p>
    <w:p w14:paraId="610179AA">
      <w:pPr>
        <w:pStyle w:val="2"/>
        <w:spacing w:line="360" w:lineRule="auto"/>
        <w:ind w:firstLine="0"/>
        <w:rPr>
          <w:rFonts w:hint="eastAsia" w:ascii="宋体" w:hAnsi="宋体" w:cs="宋体"/>
          <w:color w:val="auto"/>
          <w:kern w:val="2"/>
          <w:sz w:val="24"/>
          <w:lang w:val="en-US"/>
        </w:rPr>
      </w:pPr>
      <w:r>
        <w:rPr>
          <w:rFonts w:ascii="宋体" w:hAnsi="宋体" w:cs="宋体"/>
          <w:color w:val="auto"/>
          <w:kern w:val="2"/>
          <w:sz w:val="24"/>
          <w:lang w:val="en-US"/>
        </w:rPr>
        <w:t>四、投标人（第三方）资格要求</w:t>
      </w:r>
    </w:p>
    <w:p w14:paraId="5BE4D7C0">
      <w:pPr>
        <w:spacing w:line="360" w:lineRule="auto"/>
        <w:jc w:val="both"/>
        <w:rPr>
          <w:rFonts w:ascii="Arial" w:hAnsi="Arial" w:cs="Arial"/>
          <w:sz w:val="24"/>
          <w:szCs w:val="24"/>
        </w:rPr>
      </w:pPr>
      <w:r>
        <w:rPr>
          <w:rFonts w:ascii="宋体" w:hAnsi="宋体" w:cs="宋体"/>
          <w:kern w:val="2"/>
          <w:sz w:val="24"/>
        </w:rPr>
        <w:t>1、投标人应是从事环境技术服务的独立法人单位，持有有效的营业执照和政府行政部门认定的含环境技术类项目，</w:t>
      </w:r>
      <w:r>
        <w:rPr>
          <w:sz w:val="24"/>
          <w:szCs w:val="24"/>
        </w:rPr>
        <w:t>投标人须具有废气在线连续监测设备运维相关资质</w:t>
      </w:r>
      <w:r>
        <w:rPr>
          <w:rFonts w:ascii="Arial" w:hAnsi="Arial" w:cs="Arial"/>
          <w:sz w:val="24"/>
          <w:szCs w:val="24"/>
        </w:rPr>
        <w:t>证书（必须在赤峰境内有运维公司且在赤峰市生态环境局备案）。</w:t>
      </w:r>
    </w:p>
    <w:p w14:paraId="30BB2EED">
      <w:pPr>
        <w:spacing w:line="360" w:lineRule="auto"/>
        <w:jc w:val="both"/>
        <w:rPr>
          <w:rFonts w:ascii="Arial" w:hAnsi="Arial" w:cs="Arial"/>
          <w:sz w:val="24"/>
          <w:szCs w:val="24"/>
        </w:rPr>
      </w:pPr>
      <w:r>
        <w:rPr>
          <w:rFonts w:ascii="Arial" w:hAnsi="Arial" w:cs="Arial"/>
          <w:sz w:val="24"/>
          <w:szCs w:val="24"/>
        </w:rPr>
        <w:t>2、具有良好的财务状况和商业信誉，未处于被责令停业、投标资格被取消或者财产被接管、冻结和破产状态，未涉及重大诉讼。</w:t>
      </w:r>
    </w:p>
    <w:p w14:paraId="3FD9863A">
      <w:pPr>
        <w:spacing w:line="360" w:lineRule="auto"/>
        <w:jc w:val="both"/>
        <w:rPr>
          <w:rFonts w:ascii="Arial" w:hAnsi="Arial" w:cs="Arial"/>
          <w:sz w:val="24"/>
          <w:szCs w:val="24"/>
        </w:rPr>
      </w:pPr>
      <w:r>
        <w:rPr>
          <w:rFonts w:ascii="Arial" w:hAnsi="Arial" w:cs="Arial"/>
          <w:sz w:val="24"/>
          <w:szCs w:val="24"/>
        </w:rPr>
        <w:t>3、投标人需提供合格的服务类增值税专用发票。</w:t>
      </w:r>
    </w:p>
    <w:p w14:paraId="7787C1B3">
      <w:pPr>
        <w:spacing w:line="360" w:lineRule="auto"/>
        <w:jc w:val="both"/>
        <w:rPr>
          <w:rFonts w:ascii="Arial" w:hAnsi="Arial" w:cs="Arial"/>
          <w:sz w:val="24"/>
          <w:szCs w:val="24"/>
        </w:rPr>
      </w:pPr>
      <w:r>
        <w:rPr>
          <w:rFonts w:ascii="Arial" w:hAnsi="Arial" w:cs="Arial"/>
          <w:sz w:val="24"/>
          <w:szCs w:val="24"/>
        </w:rPr>
        <w:t>4、投标人必须响应全部招标范围。</w:t>
      </w:r>
    </w:p>
    <w:p w14:paraId="0FFC62B2">
      <w:pPr>
        <w:spacing w:line="360" w:lineRule="auto"/>
        <w:jc w:val="both"/>
        <w:rPr>
          <w:rFonts w:ascii="Arial" w:hAnsi="Arial" w:cs="Arial"/>
          <w:sz w:val="24"/>
          <w:szCs w:val="24"/>
        </w:rPr>
      </w:pPr>
      <w:r>
        <w:rPr>
          <w:rFonts w:ascii="Arial" w:hAnsi="Arial" w:cs="Arial"/>
          <w:sz w:val="24"/>
          <w:szCs w:val="24"/>
        </w:rPr>
        <w:t>五、投标文件要求</w:t>
      </w:r>
    </w:p>
    <w:p w14:paraId="7AA97EA7">
      <w:pPr>
        <w:spacing w:line="360" w:lineRule="auto"/>
        <w:jc w:val="both"/>
        <w:rPr>
          <w:rFonts w:ascii="Arial" w:hAnsi="Arial" w:cs="Arial"/>
          <w:sz w:val="24"/>
          <w:szCs w:val="24"/>
        </w:rPr>
      </w:pPr>
      <w:r>
        <w:rPr>
          <w:rFonts w:ascii="Arial" w:hAnsi="Arial" w:cs="Arial"/>
          <w:sz w:val="24"/>
          <w:szCs w:val="24"/>
        </w:rPr>
        <w:t>1、以上所有响应文件均需加盖公章。</w:t>
      </w:r>
    </w:p>
    <w:p w14:paraId="7AE32193">
      <w:pPr>
        <w:spacing w:line="360" w:lineRule="auto"/>
        <w:jc w:val="both"/>
        <w:rPr>
          <w:rFonts w:ascii="Arial" w:hAnsi="Arial" w:cs="Arial"/>
          <w:sz w:val="24"/>
          <w:szCs w:val="24"/>
        </w:rPr>
      </w:pPr>
      <w:r>
        <w:rPr>
          <w:rFonts w:ascii="Arial" w:hAnsi="Arial" w:cs="Arial"/>
          <w:sz w:val="24"/>
          <w:szCs w:val="24"/>
        </w:rPr>
        <w:t>2、依据目前国家环保法规、政策、标准及地方要求，开展在线设备安装、运维工作，工作深度符合相关法律、法规、技术规范、标准、导则等相关要求。</w:t>
      </w:r>
    </w:p>
    <w:p w14:paraId="0947BE76">
      <w:pPr>
        <w:spacing w:line="360" w:lineRule="auto"/>
        <w:jc w:val="both"/>
        <w:rPr>
          <w:rFonts w:ascii="Arial" w:hAnsi="Arial" w:cs="Arial"/>
          <w:sz w:val="24"/>
          <w:szCs w:val="24"/>
        </w:rPr>
      </w:pPr>
      <w:r>
        <w:rPr>
          <w:rFonts w:ascii="Arial" w:hAnsi="Arial" w:cs="Arial"/>
          <w:sz w:val="24"/>
          <w:szCs w:val="24"/>
        </w:rPr>
        <w:t>3、除非技术规格中另有规定，计量单位均采用中华人民共和国法定计量单位。</w:t>
      </w:r>
    </w:p>
    <w:p w14:paraId="62B872B9">
      <w:pPr>
        <w:spacing w:line="360" w:lineRule="auto"/>
        <w:jc w:val="both"/>
        <w:rPr>
          <w:rFonts w:ascii="Arial" w:hAnsi="Arial" w:cs="Arial"/>
          <w:sz w:val="24"/>
          <w:szCs w:val="24"/>
        </w:rPr>
      </w:pPr>
      <w:r>
        <w:rPr>
          <w:rFonts w:ascii="Arial" w:hAnsi="Arial" w:cs="Arial"/>
          <w:sz w:val="24"/>
          <w:szCs w:val="24"/>
        </w:rPr>
        <w:t xml:space="preserve">4、投标人所报的价格在合同有效期内是固定的，不得以任何理由予以变更。 </w:t>
      </w:r>
    </w:p>
    <w:p w14:paraId="25C75235">
      <w:pPr>
        <w:spacing w:line="360" w:lineRule="auto"/>
        <w:jc w:val="both"/>
        <w:rPr>
          <w:rFonts w:ascii="Arial" w:hAnsi="Arial" w:cs="Arial"/>
          <w:sz w:val="24"/>
          <w:szCs w:val="24"/>
        </w:rPr>
      </w:pPr>
      <w:r>
        <w:rPr>
          <w:rFonts w:ascii="Arial" w:hAnsi="Arial" w:cs="Arial"/>
          <w:sz w:val="24"/>
          <w:szCs w:val="24"/>
        </w:rPr>
        <w:t>5、投标人确认自己是在充分理解和了解所有招标资料以及相关法律、法规、政策的情况下作出的投标报价。</w:t>
      </w:r>
    </w:p>
    <w:p w14:paraId="7B17BF39">
      <w:pPr>
        <w:spacing w:line="360" w:lineRule="auto"/>
        <w:jc w:val="both"/>
        <w:rPr>
          <w:rFonts w:ascii="Arial" w:hAnsi="Arial" w:cs="Arial"/>
          <w:sz w:val="24"/>
          <w:szCs w:val="24"/>
        </w:rPr>
      </w:pPr>
      <w:r>
        <w:rPr>
          <w:rFonts w:ascii="Arial" w:hAnsi="Arial" w:cs="Arial"/>
          <w:sz w:val="24"/>
          <w:szCs w:val="24"/>
        </w:rPr>
        <w:t>7、投标货币：投标文件报价中全部采用人民币。</w:t>
      </w:r>
    </w:p>
    <w:p w14:paraId="4CB70DE4">
      <w:pPr>
        <w:spacing w:line="360" w:lineRule="auto"/>
        <w:jc w:val="both"/>
        <w:rPr>
          <w:rFonts w:ascii="Arial" w:hAnsi="Arial" w:cs="Arial"/>
          <w:sz w:val="24"/>
          <w:szCs w:val="24"/>
        </w:rPr>
      </w:pPr>
      <w:bookmarkStart w:id="11" w:name="_Hlk45375496"/>
      <w:r>
        <w:rPr>
          <w:rFonts w:ascii="Arial" w:hAnsi="Arial" w:cs="Arial"/>
          <w:sz w:val="24"/>
          <w:szCs w:val="24"/>
        </w:rPr>
        <w:t>8、投标人可自行现场踏勘，了解有关情况，招标人不承担因此产生的任何责任及后果。</w:t>
      </w:r>
    </w:p>
    <w:p w14:paraId="36250DFE">
      <w:pPr>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lang w:val="zh-CN"/>
        </w:rPr>
        <w:t>付款方式：</w:t>
      </w:r>
      <w:bookmarkEnd w:id="11"/>
      <w:r>
        <w:rPr>
          <w:rFonts w:ascii="Arial" w:hAnsi="Arial" w:cs="Arial"/>
          <w:sz w:val="24"/>
          <w:szCs w:val="24"/>
        </w:rPr>
        <w:t>每年的运维期结束后</w:t>
      </w:r>
      <w:r>
        <w:rPr>
          <w:rFonts w:hint="eastAsia" w:ascii="Arial" w:hAnsi="Arial" w:cs="Arial"/>
          <w:sz w:val="24"/>
          <w:szCs w:val="24"/>
          <w:lang w:val="en-US" w:eastAsia="zh-CN"/>
        </w:rPr>
        <w:t>开具全额发票</w:t>
      </w:r>
      <w:r>
        <w:rPr>
          <w:rFonts w:ascii="Arial" w:hAnsi="Arial" w:cs="Arial"/>
          <w:sz w:val="24"/>
          <w:szCs w:val="24"/>
        </w:rPr>
        <w:t>支付当年的运维费用。</w:t>
      </w:r>
    </w:p>
    <w:p w14:paraId="1254B49A">
      <w:pPr>
        <w:spacing w:line="360" w:lineRule="auto"/>
        <w:jc w:val="both"/>
        <w:rPr>
          <w:rFonts w:ascii="Arial" w:hAnsi="Arial" w:cs="Arial"/>
          <w:sz w:val="24"/>
          <w:szCs w:val="24"/>
        </w:rPr>
      </w:pPr>
      <w:r>
        <w:rPr>
          <w:rFonts w:ascii="Arial" w:hAnsi="Arial" w:cs="Arial"/>
          <w:sz w:val="24"/>
          <w:szCs w:val="24"/>
        </w:rPr>
        <w:t>1</w:t>
      </w:r>
      <w:r>
        <w:rPr>
          <w:rFonts w:hint="eastAsia" w:ascii="Arial" w:hAnsi="Arial" w:cs="Arial"/>
          <w:sz w:val="24"/>
          <w:szCs w:val="24"/>
        </w:rPr>
        <w:t>0</w:t>
      </w:r>
      <w:r>
        <w:rPr>
          <w:rFonts w:ascii="Arial" w:hAnsi="Arial" w:cs="Arial"/>
          <w:sz w:val="24"/>
          <w:szCs w:val="24"/>
        </w:rPr>
        <w:t>、投标书均需打印，并由投标人的法定代表人或经正式授权的代理人签字盖章。投标书必须整洁，除投标人对错误之处做必要的修改外，投标书不得行间插字、涂改和增删，如有修改，必须由投标签字人签字和盖章。</w:t>
      </w:r>
    </w:p>
    <w:p w14:paraId="344C7225">
      <w:pPr>
        <w:spacing w:line="360" w:lineRule="auto"/>
        <w:jc w:val="both"/>
        <w:rPr>
          <w:rFonts w:ascii="Arial" w:hAnsi="Arial" w:cs="Arial"/>
          <w:sz w:val="24"/>
          <w:szCs w:val="24"/>
        </w:rPr>
      </w:pPr>
      <w:r>
        <w:rPr>
          <w:rFonts w:ascii="Arial" w:hAnsi="Arial" w:cs="Arial"/>
          <w:sz w:val="24"/>
          <w:szCs w:val="24"/>
        </w:rPr>
        <w:t>六、招、投标文件递交时间</w:t>
      </w:r>
    </w:p>
    <w:p w14:paraId="2387A860">
      <w:pPr>
        <w:spacing w:line="360" w:lineRule="auto"/>
        <w:jc w:val="both"/>
        <w:rPr>
          <w:rFonts w:ascii="Arial" w:hAnsi="Arial" w:cs="Arial"/>
          <w:sz w:val="24"/>
          <w:szCs w:val="24"/>
        </w:rPr>
      </w:pPr>
      <w:r>
        <w:rPr>
          <w:rFonts w:hint="eastAsia" w:ascii="Arial" w:hAnsi="Arial" w:cs="Arial"/>
          <w:sz w:val="24"/>
          <w:szCs w:val="24"/>
          <w:lang w:val="en-US" w:eastAsia="zh-CN"/>
        </w:rPr>
        <w:t>1</w:t>
      </w:r>
      <w:r>
        <w:rPr>
          <w:rFonts w:ascii="Arial" w:hAnsi="Arial" w:cs="Arial"/>
          <w:sz w:val="24"/>
          <w:szCs w:val="24"/>
        </w:rPr>
        <w:t>、投标截止（开标）时间：所有投标文件须于2024年   月   日    时前(北京时间)快递或</w:t>
      </w:r>
      <w:r>
        <w:rPr>
          <w:rFonts w:hint="eastAsia" w:ascii="Arial" w:hAnsi="Arial" w:cs="Arial"/>
          <w:sz w:val="24"/>
        </w:rPr>
        <w:t>通过邮箱jttyztb@163.com 送达到赤峰金通铜业有限公司</w:t>
      </w:r>
      <w:r>
        <w:rPr>
          <w:rFonts w:ascii="Arial" w:hAnsi="Arial" w:cs="Arial"/>
          <w:sz w:val="24"/>
          <w:szCs w:val="24"/>
        </w:rPr>
        <w:t>，逾期送达的或者未送达指定地点的投标文件，不予受理。</w:t>
      </w:r>
    </w:p>
    <w:p w14:paraId="58838F14">
      <w:pPr>
        <w:spacing w:line="360" w:lineRule="auto"/>
        <w:jc w:val="both"/>
        <w:rPr>
          <w:rFonts w:ascii="Arial" w:hAnsi="Arial" w:cs="Arial"/>
          <w:sz w:val="24"/>
          <w:szCs w:val="24"/>
        </w:rPr>
      </w:pPr>
      <w:r>
        <w:rPr>
          <w:rFonts w:ascii="Arial" w:hAnsi="Arial" w:cs="Arial"/>
          <w:sz w:val="24"/>
          <w:szCs w:val="24"/>
        </w:rPr>
        <w:t>注：投标文件请加盖密封章。</w:t>
      </w:r>
    </w:p>
    <w:p w14:paraId="25A3158E">
      <w:pPr>
        <w:spacing w:line="360" w:lineRule="auto"/>
        <w:jc w:val="both"/>
        <w:rPr>
          <w:rFonts w:ascii="Arial" w:hAnsi="Arial" w:cs="Arial"/>
          <w:sz w:val="24"/>
          <w:szCs w:val="24"/>
        </w:rPr>
      </w:pPr>
      <w:r>
        <w:rPr>
          <w:rFonts w:ascii="Arial" w:hAnsi="Arial" w:cs="Arial"/>
          <w:sz w:val="24"/>
          <w:szCs w:val="24"/>
        </w:rPr>
        <w:t>七、开标时间与地点</w:t>
      </w:r>
    </w:p>
    <w:p w14:paraId="671451E6">
      <w:pPr>
        <w:spacing w:line="360" w:lineRule="auto"/>
        <w:jc w:val="both"/>
        <w:rPr>
          <w:rFonts w:ascii="Arial" w:hAnsi="Arial" w:cs="Arial"/>
          <w:sz w:val="24"/>
          <w:szCs w:val="24"/>
        </w:rPr>
      </w:pPr>
      <w:r>
        <w:rPr>
          <w:rFonts w:ascii="Arial" w:hAnsi="Arial" w:cs="Arial"/>
          <w:sz w:val="24"/>
          <w:szCs w:val="24"/>
        </w:rPr>
        <w:t>投标截止时间，即为开标时间；地点在赤峰金通铜业有限公司综合办公楼</w:t>
      </w:r>
      <w:r>
        <w:rPr>
          <w:rFonts w:hint="eastAsia" w:ascii="Arial" w:hAnsi="Arial" w:cs="Arial"/>
          <w:sz w:val="24"/>
          <w:szCs w:val="24"/>
        </w:rPr>
        <w:t>二</w:t>
      </w:r>
      <w:r>
        <w:rPr>
          <w:rFonts w:ascii="Arial" w:hAnsi="Arial" w:cs="Arial"/>
          <w:sz w:val="24"/>
          <w:szCs w:val="24"/>
        </w:rPr>
        <w:t>楼会议室。</w:t>
      </w:r>
    </w:p>
    <w:p w14:paraId="05AE333B">
      <w:pPr>
        <w:spacing w:line="360" w:lineRule="auto"/>
        <w:jc w:val="both"/>
        <w:rPr>
          <w:rFonts w:ascii="Arial" w:hAnsi="Arial" w:cs="Arial"/>
          <w:sz w:val="24"/>
          <w:szCs w:val="24"/>
        </w:rPr>
      </w:pPr>
      <w:r>
        <w:rPr>
          <w:rFonts w:ascii="Arial" w:hAnsi="Arial" w:cs="Arial"/>
          <w:sz w:val="24"/>
          <w:szCs w:val="24"/>
        </w:rPr>
        <w:t>八、评标</w:t>
      </w:r>
    </w:p>
    <w:p w14:paraId="2494F21C">
      <w:pPr>
        <w:spacing w:line="360" w:lineRule="auto"/>
        <w:jc w:val="both"/>
        <w:rPr>
          <w:rFonts w:ascii="Arial" w:hAnsi="Arial" w:cs="Arial"/>
          <w:sz w:val="24"/>
          <w:szCs w:val="24"/>
        </w:rPr>
      </w:pPr>
      <w:r>
        <w:rPr>
          <w:rFonts w:ascii="Arial" w:hAnsi="Arial" w:cs="Arial"/>
          <w:sz w:val="24"/>
          <w:szCs w:val="24"/>
        </w:rPr>
        <w:t>本着坚持“公开、公平、公正”的原则，为维护招投标双方的合法权益，增加评标工作透明度，保证评标、定标的科学性、公正性和可操作性，根据《中华人民共和国招标投标法》、《中华人民共和国招标投标法实施条例》等法律法规的精神，并结合本项目实际制定本办法。</w:t>
      </w:r>
    </w:p>
    <w:p w14:paraId="6A98FAA7">
      <w:pPr>
        <w:spacing w:line="360" w:lineRule="auto"/>
        <w:jc w:val="both"/>
        <w:rPr>
          <w:rFonts w:ascii="Arial" w:hAnsi="Arial" w:cs="Arial"/>
          <w:sz w:val="24"/>
          <w:szCs w:val="24"/>
        </w:rPr>
      </w:pPr>
      <w:r>
        <w:rPr>
          <w:rFonts w:ascii="Arial" w:hAnsi="Arial" w:cs="Arial"/>
          <w:sz w:val="24"/>
          <w:szCs w:val="24"/>
        </w:rPr>
        <w:t>1、资格审查（初步评审）：资格审查、业绩审查。若有一项不通过，则视为资格审查不通过，作否决其投标处理。此外，出现下列情况之一的，也否决其投标。</w:t>
      </w:r>
    </w:p>
    <w:p w14:paraId="3A1A71CB">
      <w:pPr>
        <w:spacing w:line="360" w:lineRule="auto"/>
        <w:jc w:val="both"/>
        <w:rPr>
          <w:rFonts w:ascii="Arial" w:hAnsi="Arial" w:cs="Arial"/>
          <w:sz w:val="24"/>
          <w:szCs w:val="24"/>
        </w:rPr>
      </w:pPr>
      <w:r>
        <w:rPr>
          <w:rFonts w:ascii="Arial" w:hAnsi="Arial" w:cs="Arial"/>
          <w:sz w:val="24"/>
          <w:szCs w:val="24"/>
        </w:rPr>
        <w:t>投标书未密封或未按照规定装订的；</w:t>
      </w:r>
    </w:p>
    <w:p w14:paraId="43BA216E">
      <w:pPr>
        <w:spacing w:line="360" w:lineRule="auto"/>
        <w:jc w:val="both"/>
        <w:rPr>
          <w:rFonts w:ascii="Arial" w:hAnsi="Arial" w:cs="Arial"/>
          <w:sz w:val="24"/>
          <w:szCs w:val="24"/>
        </w:rPr>
      </w:pPr>
      <w:r>
        <w:rPr>
          <w:rFonts w:ascii="Arial" w:hAnsi="Arial" w:cs="Arial"/>
          <w:sz w:val="24"/>
          <w:szCs w:val="24"/>
        </w:rPr>
        <w:t>投标书和资料袋未加盖公章的；</w:t>
      </w:r>
    </w:p>
    <w:p w14:paraId="2650481A">
      <w:pPr>
        <w:spacing w:line="360" w:lineRule="auto"/>
        <w:jc w:val="both"/>
        <w:rPr>
          <w:rFonts w:ascii="Arial" w:hAnsi="Arial" w:cs="Arial"/>
          <w:sz w:val="24"/>
          <w:szCs w:val="24"/>
        </w:rPr>
      </w:pPr>
      <w:r>
        <w:rPr>
          <w:rFonts w:ascii="Arial" w:hAnsi="Arial" w:cs="Arial"/>
          <w:sz w:val="24"/>
          <w:szCs w:val="24"/>
        </w:rPr>
        <w:t>在投标截止时间之后送达投标文件的；</w:t>
      </w:r>
    </w:p>
    <w:p w14:paraId="749DAFB6">
      <w:pPr>
        <w:spacing w:line="360" w:lineRule="auto"/>
        <w:jc w:val="both"/>
        <w:rPr>
          <w:rFonts w:ascii="Arial" w:hAnsi="Arial" w:cs="Arial"/>
          <w:sz w:val="24"/>
          <w:szCs w:val="24"/>
        </w:rPr>
      </w:pPr>
      <w:r>
        <w:rPr>
          <w:rFonts w:ascii="Arial" w:hAnsi="Arial" w:cs="Arial"/>
          <w:sz w:val="24"/>
          <w:szCs w:val="24"/>
        </w:rPr>
        <w:t>未按规定的格式填写，内容不全或字迹模糊辨认不清的；</w:t>
      </w:r>
    </w:p>
    <w:p w14:paraId="650364AD">
      <w:pPr>
        <w:spacing w:line="360" w:lineRule="auto"/>
        <w:jc w:val="both"/>
        <w:rPr>
          <w:rFonts w:ascii="Arial" w:hAnsi="Arial" w:cs="Arial"/>
          <w:sz w:val="24"/>
          <w:szCs w:val="24"/>
        </w:rPr>
      </w:pPr>
      <w:r>
        <w:rPr>
          <w:rFonts w:ascii="Arial" w:hAnsi="Arial" w:cs="Arial"/>
          <w:sz w:val="24"/>
          <w:szCs w:val="24"/>
        </w:rPr>
        <w:t>未实质性响应招标文件的；</w:t>
      </w:r>
    </w:p>
    <w:p w14:paraId="1CC73BFC">
      <w:pPr>
        <w:spacing w:line="360" w:lineRule="auto"/>
        <w:jc w:val="both"/>
        <w:rPr>
          <w:rFonts w:ascii="Arial" w:hAnsi="Arial" w:cs="Arial"/>
          <w:sz w:val="24"/>
          <w:szCs w:val="24"/>
        </w:rPr>
      </w:pPr>
      <w:r>
        <w:rPr>
          <w:rFonts w:ascii="Arial" w:hAnsi="Arial" w:cs="Arial"/>
          <w:sz w:val="24"/>
          <w:szCs w:val="24"/>
        </w:rPr>
        <w:t>投标人弄虚作假或投标文件的内容有严重不符合事实的。</w:t>
      </w:r>
    </w:p>
    <w:p w14:paraId="25609FF3">
      <w:pPr>
        <w:spacing w:line="360" w:lineRule="auto"/>
        <w:jc w:val="both"/>
        <w:rPr>
          <w:rFonts w:ascii="Arial" w:hAnsi="Arial" w:cs="Arial"/>
          <w:sz w:val="24"/>
          <w:szCs w:val="24"/>
        </w:rPr>
      </w:pPr>
      <w:r>
        <w:rPr>
          <w:rFonts w:ascii="Arial" w:hAnsi="Arial" w:cs="Arial"/>
          <w:sz w:val="24"/>
          <w:szCs w:val="24"/>
        </w:rPr>
        <w:t>2、投标文件的评估、比价方法</w:t>
      </w:r>
    </w:p>
    <w:p w14:paraId="49F2F9D8">
      <w:pPr>
        <w:spacing w:line="360" w:lineRule="auto"/>
        <w:jc w:val="both"/>
        <w:rPr>
          <w:rFonts w:ascii="Arial" w:hAnsi="Arial" w:cs="Arial"/>
          <w:sz w:val="24"/>
          <w:szCs w:val="24"/>
        </w:rPr>
      </w:pPr>
      <w:r>
        <w:rPr>
          <w:rFonts w:ascii="Arial" w:hAnsi="Arial" w:cs="Arial"/>
          <w:sz w:val="24"/>
          <w:szCs w:val="24"/>
        </w:rPr>
        <w:t>评标委员会将对所有通过初步评审的有效投标文件进行评估、比较。根据招标文件的要求，选择能最大限度地满足招标文件规定的各项综合评价标准，根据投标总价，确定中标人。</w:t>
      </w:r>
      <w:bookmarkStart w:id="12" w:name="_Toc363149511"/>
      <w:bookmarkEnd w:id="12"/>
      <w:bookmarkStart w:id="13" w:name="_Toc363628789"/>
      <w:bookmarkEnd w:id="13"/>
      <w:bookmarkStart w:id="14" w:name="_Toc236216254"/>
      <w:bookmarkEnd w:id="14"/>
    </w:p>
    <w:p w14:paraId="680113D9">
      <w:pPr>
        <w:spacing w:line="360" w:lineRule="auto"/>
        <w:jc w:val="both"/>
        <w:rPr>
          <w:rFonts w:ascii="Arial" w:hAnsi="Arial" w:cs="Arial"/>
          <w:sz w:val="24"/>
          <w:szCs w:val="24"/>
        </w:rPr>
      </w:pPr>
      <w:r>
        <w:rPr>
          <w:rFonts w:ascii="Arial" w:hAnsi="Arial" w:cs="Arial"/>
          <w:sz w:val="24"/>
          <w:szCs w:val="24"/>
        </w:rPr>
        <w:t>九、中标通知书</w:t>
      </w:r>
    </w:p>
    <w:p w14:paraId="28E1F05A">
      <w:pPr>
        <w:spacing w:line="360" w:lineRule="auto"/>
        <w:jc w:val="both"/>
        <w:rPr>
          <w:rFonts w:ascii="Arial" w:hAnsi="Arial" w:cs="Arial"/>
          <w:sz w:val="24"/>
          <w:szCs w:val="24"/>
        </w:rPr>
      </w:pPr>
      <w:r>
        <w:rPr>
          <w:rFonts w:ascii="Arial" w:hAnsi="Arial" w:cs="Arial"/>
          <w:sz w:val="24"/>
          <w:szCs w:val="24"/>
        </w:rPr>
        <w:t>中标人在收到发出的《中标通知书》后，应在招标文件规定的时间内与招标人签订协议。由于中标人的原因逾期未与招标人签订协议的，将视为放弃中标，取消其中标资格并将按相关规定进行处理。</w:t>
      </w:r>
    </w:p>
    <w:p w14:paraId="179363CC">
      <w:pPr>
        <w:spacing w:line="360" w:lineRule="auto"/>
        <w:jc w:val="both"/>
        <w:rPr>
          <w:rFonts w:ascii="Arial" w:hAnsi="Arial" w:cs="Arial"/>
          <w:sz w:val="24"/>
          <w:szCs w:val="24"/>
        </w:rPr>
      </w:pPr>
      <w:r>
        <w:rPr>
          <w:rFonts w:ascii="Arial" w:hAnsi="Arial" w:cs="Arial"/>
          <w:sz w:val="24"/>
          <w:szCs w:val="24"/>
        </w:rPr>
        <w:t>十、合同协议书的签订</w:t>
      </w:r>
    </w:p>
    <w:p w14:paraId="01492456">
      <w:pPr>
        <w:spacing w:line="360" w:lineRule="auto"/>
        <w:jc w:val="both"/>
        <w:rPr>
          <w:rFonts w:ascii="Arial" w:hAnsi="Arial" w:cs="Arial"/>
          <w:sz w:val="24"/>
          <w:szCs w:val="24"/>
        </w:rPr>
      </w:pPr>
      <w:r>
        <w:rPr>
          <w:rFonts w:ascii="Arial" w:hAnsi="Arial" w:cs="Arial"/>
          <w:sz w:val="24"/>
          <w:szCs w:val="24"/>
        </w:rPr>
        <w:t>1、招标人应按照招标文件和中标人的投标文件与中标人签订服务合同，招标人不得向中标人提出任何不合理的要求，作为签订合同的条件，不得与中标人私下订立背离合同实质性内容的任何协议，所签订的合同不得对招标文件和中标人投标文件作实质性修改。</w:t>
      </w:r>
    </w:p>
    <w:p w14:paraId="5A45EA7F">
      <w:pPr>
        <w:spacing w:line="360" w:lineRule="auto"/>
        <w:jc w:val="both"/>
        <w:rPr>
          <w:rFonts w:ascii="Arial" w:hAnsi="Arial" w:cs="Arial"/>
          <w:sz w:val="24"/>
          <w:szCs w:val="24"/>
        </w:rPr>
      </w:pPr>
      <w:r>
        <w:rPr>
          <w:rFonts w:ascii="Arial" w:hAnsi="Arial" w:cs="Arial"/>
          <w:sz w:val="24"/>
          <w:szCs w:val="24"/>
        </w:rPr>
        <w:t>2、中标人如不按本招标文件规定与招标人订立合同，则招标人将废除授标，给招标人造成的损失的，还应当予以赔偿，同时依法承担相应法律责任。</w:t>
      </w:r>
    </w:p>
    <w:p w14:paraId="05B92A01">
      <w:pPr>
        <w:spacing w:line="360" w:lineRule="auto"/>
        <w:jc w:val="both"/>
        <w:rPr>
          <w:rFonts w:ascii="Arial" w:hAnsi="Arial" w:cs="Arial"/>
          <w:sz w:val="24"/>
          <w:szCs w:val="24"/>
        </w:rPr>
      </w:pPr>
      <w:r>
        <w:rPr>
          <w:rFonts w:ascii="Arial" w:hAnsi="Arial" w:cs="Arial"/>
          <w:sz w:val="24"/>
          <w:szCs w:val="24"/>
        </w:rPr>
        <w:t>3、中标人应当按照合同约定履行义务，完成中标项目，不得将中标项目转让（转包）给他人。</w:t>
      </w:r>
    </w:p>
    <w:p w14:paraId="58EE2ED6">
      <w:pPr>
        <w:spacing w:line="360" w:lineRule="auto"/>
        <w:jc w:val="both"/>
        <w:rPr>
          <w:rFonts w:ascii="Arial" w:hAnsi="Arial" w:cs="Arial"/>
          <w:sz w:val="24"/>
          <w:szCs w:val="24"/>
        </w:rPr>
      </w:pPr>
      <w:r>
        <w:rPr>
          <w:rFonts w:ascii="Arial" w:hAnsi="Arial" w:cs="Arial"/>
          <w:sz w:val="24"/>
          <w:szCs w:val="24"/>
        </w:rPr>
        <w:t>十一、履行合同</w:t>
      </w:r>
    </w:p>
    <w:p w14:paraId="7127219C">
      <w:pPr>
        <w:spacing w:line="360" w:lineRule="auto"/>
        <w:jc w:val="both"/>
        <w:rPr>
          <w:rFonts w:ascii="Arial" w:hAnsi="Arial" w:cs="Arial"/>
          <w:sz w:val="24"/>
          <w:szCs w:val="24"/>
        </w:rPr>
      </w:pPr>
      <w:r>
        <w:rPr>
          <w:rFonts w:ascii="Arial" w:hAnsi="Arial" w:cs="Arial"/>
          <w:sz w:val="24"/>
          <w:szCs w:val="24"/>
        </w:rPr>
        <w:t>1、中标人与招标人签订合同后，合同双方应严格执行合同条款，履行合同规定的义务，保证合同的顺利完成。</w:t>
      </w:r>
    </w:p>
    <w:p w14:paraId="73C44EEA">
      <w:pPr>
        <w:spacing w:line="360" w:lineRule="auto"/>
        <w:jc w:val="both"/>
        <w:rPr>
          <w:rFonts w:hint="eastAsia" w:ascii="宋体" w:hAnsi="宋体" w:cs="宋体"/>
          <w:sz w:val="24"/>
        </w:rPr>
      </w:pPr>
      <w:r>
        <w:rPr>
          <w:rFonts w:ascii="Arial" w:hAnsi="Arial" w:cs="Arial"/>
          <w:sz w:val="24"/>
          <w:szCs w:val="24"/>
        </w:rPr>
        <w:t xml:space="preserve">2、在合同履行过程中，如发生合同纠纷，合同双方应按照《合同法》的有关规定进行处理。  </w:t>
      </w:r>
      <w:r>
        <w:rPr>
          <w:rFonts w:ascii="宋体" w:hAnsi="宋体" w:cs="宋体"/>
          <w:sz w:val="24"/>
        </w:rPr>
        <w:t xml:space="preserve"> </w:t>
      </w:r>
    </w:p>
    <w:p w14:paraId="23C8A710">
      <w:pPr>
        <w:widowControl w:val="0"/>
        <w:spacing w:line="560" w:lineRule="exact"/>
        <w:ind w:left="5990" w:firstLine="720"/>
        <w:rPr>
          <w:rFonts w:hint="eastAsia" w:ascii="宋体" w:hAnsi="宋体" w:cs="宋体"/>
          <w:sz w:val="24"/>
          <w:szCs w:val="24"/>
        </w:rPr>
      </w:pPr>
      <w:r>
        <w:rPr>
          <w:rFonts w:ascii="宋体" w:hAnsi="宋体" w:cs="宋体"/>
          <w:sz w:val="24"/>
        </w:rPr>
        <w:t xml:space="preserve">                                      </w:t>
      </w:r>
      <w:r>
        <w:rPr>
          <w:rFonts w:ascii="宋体" w:hAnsi="宋体" w:cs="宋体"/>
          <w:sz w:val="24"/>
          <w:szCs w:val="24"/>
        </w:rPr>
        <w:t xml:space="preserve">  安全环保部</w:t>
      </w:r>
    </w:p>
    <w:p w14:paraId="4706258D">
      <w:pPr>
        <w:widowControl w:val="0"/>
        <w:spacing w:line="560" w:lineRule="exact"/>
        <w:ind w:firstLine="480"/>
        <w:rPr>
          <w:rFonts w:hint="eastAsia" w:ascii="宋体" w:hAnsi="宋体" w:cs="宋体"/>
          <w:sz w:val="24"/>
          <w:szCs w:val="24"/>
        </w:rPr>
      </w:pPr>
      <w:r>
        <w:rPr>
          <w:rFonts w:ascii="宋体" w:hAnsi="宋体" w:cs="宋体"/>
          <w:sz w:val="24"/>
          <w:szCs w:val="24"/>
        </w:rPr>
        <w:t xml:space="preserve">                                          2024年   月   日</w:t>
      </w:r>
    </w:p>
    <w:p w14:paraId="2E80F4BB">
      <w:pPr>
        <w:pStyle w:val="2"/>
        <w:ind w:firstLine="480"/>
        <w:rPr>
          <w:rFonts w:hint="eastAsia" w:ascii="宋体" w:hAnsi="宋体" w:cs="宋体"/>
          <w:color w:val="auto"/>
          <w:sz w:val="24"/>
          <w:szCs w:val="24"/>
        </w:rPr>
      </w:pPr>
    </w:p>
    <w:p w14:paraId="171CF0A1">
      <w:pPr>
        <w:spacing w:line="560" w:lineRule="exact"/>
        <w:ind w:firstLine="480"/>
        <w:rPr>
          <w:rFonts w:hint="eastAsia" w:ascii="宋体" w:hAnsi="宋体" w:cs="宋体"/>
          <w:sz w:val="24"/>
        </w:rPr>
      </w:pPr>
    </w:p>
    <w:p w14:paraId="02EFE37A">
      <w:pPr>
        <w:spacing w:line="560" w:lineRule="exact"/>
        <w:ind w:firstLine="480"/>
        <w:rPr>
          <w:rFonts w:hint="eastAsia" w:ascii="宋体" w:hAnsi="宋体" w:cs="宋体"/>
          <w:sz w:val="24"/>
        </w:rPr>
      </w:pPr>
    </w:p>
    <w:p w14:paraId="7067F2B1">
      <w:pPr>
        <w:spacing w:line="360" w:lineRule="auto"/>
        <w:rPr>
          <w:rFonts w:ascii="Arial" w:hAnsi="Arial" w:cs="Arial"/>
          <w:sz w:val="24"/>
          <w:szCs w:val="24"/>
        </w:rPr>
      </w:pPr>
    </w:p>
    <w:p w14:paraId="729C7898">
      <w:pPr>
        <w:pStyle w:val="2"/>
        <w:ind w:firstLine="480"/>
        <w:rPr>
          <w:rFonts w:ascii="Arial" w:hAnsi="Arial" w:cs="Arial"/>
          <w:color w:val="auto"/>
          <w:sz w:val="24"/>
          <w:szCs w:val="24"/>
        </w:rPr>
      </w:pPr>
    </w:p>
    <w:p w14:paraId="2020DD0D">
      <w:pPr>
        <w:pStyle w:val="2"/>
        <w:ind w:firstLine="480"/>
        <w:rPr>
          <w:rFonts w:ascii="Arial" w:hAnsi="Arial" w:cs="Arial"/>
          <w:color w:val="auto"/>
          <w:sz w:val="24"/>
          <w:szCs w:val="24"/>
        </w:rPr>
      </w:pPr>
    </w:p>
    <w:p w14:paraId="1E426DE4">
      <w:pPr>
        <w:pStyle w:val="2"/>
        <w:ind w:firstLine="480"/>
        <w:rPr>
          <w:rFonts w:ascii="Arial" w:hAnsi="Arial" w:cs="Arial"/>
          <w:color w:val="auto"/>
          <w:sz w:val="24"/>
          <w:szCs w:val="24"/>
        </w:rPr>
      </w:pPr>
    </w:p>
    <w:p w14:paraId="57E75548">
      <w:pPr>
        <w:pStyle w:val="2"/>
        <w:ind w:firstLine="480"/>
        <w:rPr>
          <w:rFonts w:ascii="Arial" w:hAnsi="Arial" w:cs="Arial"/>
          <w:color w:val="auto"/>
          <w:sz w:val="24"/>
          <w:szCs w:val="24"/>
        </w:rPr>
      </w:pPr>
    </w:p>
    <w:p w14:paraId="176CB739">
      <w:pPr>
        <w:pStyle w:val="2"/>
        <w:ind w:firstLine="480"/>
        <w:rPr>
          <w:rFonts w:ascii="Arial" w:hAnsi="Arial" w:cs="Arial"/>
          <w:color w:val="auto"/>
          <w:sz w:val="24"/>
          <w:szCs w:val="24"/>
        </w:rPr>
      </w:pPr>
    </w:p>
    <w:p w14:paraId="459AF0B7">
      <w:pPr>
        <w:pStyle w:val="2"/>
        <w:ind w:firstLine="480"/>
        <w:rPr>
          <w:rFonts w:ascii="Arial" w:hAnsi="Arial" w:cs="Arial"/>
          <w:color w:val="auto"/>
          <w:sz w:val="24"/>
          <w:szCs w:val="24"/>
        </w:rPr>
      </w:pPr>
    </w:p>
    <w:p w14:paraId="23350CA1">
      <w:pPr>
        <w:pStyle w:val="2"/>
        <w:ind w:firstLine="480"/>
        <w:rPr>
          <w:rFonts w:ascii="Arial" w:hAnsi="Arial" w:cs="Arial"/>
          <w:color w:val="auto"/>
          <w:sz w:val="24"/>
          <w:szCs w:val="24"/>
        </w:rPr>
      </w:pPr>
    </w:p>
    <w:p w14:paraId="7DDB33F4">
      <w:pPr>
        <w:pStyle w:val="2"/>
        <w:ind w:firstLine="480"/>
        <w:rPr>
          <w:rFonts w:ascii="Arial" w:hAnsi="Arial" w:cs="Arial"/>
          <w:color w:val="auto"/>
          <w:sz w:val="24"/>
          <w:szCs w:val="24"/>
        </w:rPr>
      </w:pPr>
    </w:p>
    <w:p w14:paraId="08100F36">
      <w:pPr>
        <w:pStyle w:val="2"/>
        <w:ind w:firstLine="480"/>
        <w:rPr>
          <w:rFonts w:ascii="Arial" w:hAnsi="Arial" w:cs="Arial"/>
          <w:color w:val="auto"/>
          <w:sz w:val="24"/>
          <w:szCs w:val="24"/>
        </w:rPr>
      </w:pPr>
    </w:p>
    <w:p w14:paraId="07272D8C">
      <w:pPr>
        <w:pStyle w:val="2"/>
        <w:ind w:firstLine="480"/>
        <w:rPr>
          <w:rFonts w:ascii="Arial" w:hAnsi="Arial" w:cs="Arial"/>
          <w:color w:val="auto"/>
          <w:sz w:val="24"/>
          <w:szCs w:val="24"/>
        </w:rPr>
      </w:pPr>
    </w:p>
    <w:p w14:paraId="2A396A24">
      <w:pPr>
        <w:pStyle w:val="2"/>
        <w:ind w:firstLine="480"/>
        <w:rPr>
          <w:rFonts w:ascii="Arial" w:hAnsi="Arial" w:cs="Arial"/>
          <w:color w:val="auto"/>
          <w:sz w:val="24"/>
          <w:szCs w:val="24"/>
        </w:rPr>
      </w:pPr>
    </w:p>
    <w:p w14:paraId="345E5607">
      <w:pPr>
        <w:pStyle w:val="2"/>
        <w:ind w:firstLine="480"/>
        <w:rPr>
          <w:rFonts w:ascii="Arial" w:hAnsi="Arial" w:cs="Arial"/>
          <w:color w:val="auto"/>
          <w:sz w:val="24"/>
          <w:szCs w:val="24"/>
        </w:rPr>
      </w:pPr>
    </w:p>
    <w:p w14:paraId="341981E1">
      <w:pPr>
        <w:pStyle w:val="2"/>
        <w:ind w:firstLine="480"/>
        <w:rPr>
          <w:rFonts w:ascii="Arial" w:hAnsi="Arial" w:cs="Arial"/>
          <w:color w:val="auto"/>
          <w:sz w:val="24"/>
          <w:szCs w:val="24"/>
        </w:rPr>
      </w:pPr>
    </w:p>
    <w:p w14:paraId="3D885A95">
      <w:pPr>
        <w:pStyle w:val="2"/>
        <w:ind w:firstLine="480"/>
        <w:rPr>
          <w:rFonts w:ascii="Arial" w:hAnsi="Arial" w:cs="Arial"/>
          <w:color w:val="auto"/>
          <w:sz w:val="24"/>
          <w:szCs w:val="24"/>
        </w:rPr>
      </w:pPr>
    </w:p>
    <w:p w14:paraId="6BEDB427">
      <w:pPr>
        <w:pStyle w:val="2"/>
        <w:ind w:firstLine="480"/>
        <w:rPr>
          <w:rFonts w:ascii="Arial" w:hAnsi="Arial" w:cs="Arial"/>
          <w:color w:val="auto"/>
          <w:sz w:val="24"/>
          <w:szCs w:val="24"/>
        </w:rPr>
      </w:pPr>
    </w:p>
    <w:p w14:paraId="4274E000">
      <w:pPr>
        <w:pStyle w:val="2"/>
        <w:ind w:firstLine="480"/>
        <w:rPr>
          <w:rFonts w:ascii="Arial" w:hAnsi="Arial" w:cs="Arial"/>
          <w:color w:val="auto"/>
          <w:sz w:val="24"/>
          <w:szCs w:val="24"/>
        </w:rPr>
      </w:pPr>
    </w:p>
    <w:p w14:paraId="30221648">
      <w:pPr>
        <w:pStyle w:val="2"/>
        <w:ind w:firstLine="480"/>
        <w:rPr>
          <w:rFonts w:ascii="Arial" w:hAnsi="Arial" w:cs="Arial"/>
          <w:color w:val="auto"/>
          <w:sz w:val="24"/>
          <w:szCs w:val="24"/>
        </w:rPr>
      </w:pPr>
    </w:p>
    <w:p w14:paraId="7D92F079">
      <w:pPr>
        <w:pStyle w:val="2"/>
        <w:ind w:firstLine="480"/>
        <w:rPr>
          <w:rFonts w:ascii="Arial" w:hAnsi="Arial" w:cs="Arial"/>
          <w:color w:val="auto"/>
          <w:sz w:val="24"/>
          <w:szCs w:val="24"/>
        </w:rPr>
      </w:pPr>
    </w:p>
    <w:p w14:paraId="6DB4CEC6">
      <w:pPr>
        <w:pStyle w:val="2"/>
        <w:ind w:firstLine="480"/>
        <w:rPr>
          <w:rFonts w:ascii="Arial" w:hAnsi="Arial" w:cs="Arial"/>
          <w:color w:val="auto"/>
          <w:sz w:val="24"/>
          <w:szCs w:val="24"/>
        </w:rPr>
      </w:pPr>
    </w:p>
    <w:p w14:paraId="32F6EAB8">
      <w:pPr>
        <w:pStyle w:val="2"/>
        <w:ind w:firstLine="480"/>
        <w:rPr>
          <w:rFonts w:ascii="Arial" w:hAnsi="Arial" w:cs="Arial"/>
          <w:color w:val="auto"/>
          <w:sz w:val="24"/>
          <w:szCs w:val="24"/>
        </w:rPr>
      </w:pPr>
    </w:p>
    <w:p w14:paraId="4F81A792">
      <w:pPr>
        <w:pStyle w:val="2"/>
        <w:ind w:firstLine="480"/>
        <w:rPr>
          <w:rFonts w:ascii="Arial" w:hAnsi="Arial" w:cs="Arial"/>
          <w:color w:val="auto"/>
          <w:sz w:val="24"/>
          <w:szCs w:val="24"/>
        </w:rPr>
      </w:pPr>
    </w:p>
    <w:p w14:paraId="08D82619">
      <w:pPr>
        <w:pStyle w:val="2"/>
        <w:ind w:firstLine="480"/>
        <w:rPr>
          <w:rFonts w:ascii="Arial" w:hAnsi="Arial" w:cs="Arial"/>
          <w:color w:val="auto"/>
          <w:sz w:val="24"/>
          <w:szCs w:val="24"/>
        </w:rPr>
      </w:pPr>
    </w:p>
    <w:p w14:paraId="54E28ACD">
      <w:pPr>
        <w:pStyle w:val="2"/>
        <w:ind w:firstLine="480"/>
        <w:rPr>
          <w:rFonts w:ascii="Arial" w:hAnsi="Arial" w:cs="Arial"/>
          <w:color w:val="auto"/>
          <w:sz w:val="24"/>
          <w:szCs w:val="24"/>
        </w:rPr>
      </w:pPr>
    </w:p>
    <w:p w14:paraId="6BAA33E5">
      <w:pPr>
        <w:pStyle w:val="2"/>
        <w:ind w:firstLine="480"/>
        <w:rPr>
          <w:rFonts w:ascii="Arial" w:hAnsi="Arial" w:cs="Arial"/>
          <w:color w:val="auto"/>
          <w:sz w:val="24"/>
          <w:szCs w:val="24"/>
        </w:rPr>
      </w:pPr>
    </w:p>
    <w:p w14:paraId="6E302156">
      <w:pPr>
        <w:pStyle w:val="2"/>
        <w:ind w:firstLine="480"/>
        <w:rPr>
          <w:rFonts w:ascii="Arial" w:hAnsi="Arial" w:cs="Arial"/>
          <w:color w:val="auto"/>
          <w:sz w:val="24"/>
          <w:szCs w:val="24"/>
        </w:rPr>
      </w:pPr>
    </w:p>
    <w:p w14:paraId="7B6260EB">
      <w:pPr>
        <w:pStyle w:val="2"/>
        <w:ind w:firstLine="480"/>
        <w:rPr>
          <w:rFonts w:ascii="Arial" w:hAnsi="Arial" w:cs="Arial"/>
          <w:color w:val="auto"/>
          <w:sz w:val="24"/>
          <w:szCs w:val="24"/>
        </w:rPr>
      </w:pPr>
    </w:p>
    <w:p w14:paraId="3DF52779">
      <w:pPr>
        <w:spacing w:line="360" w:lineRule="auto"/>
        <w:rPr>
          <w:rFonts w:ascii="Arial" w:hAnsi="Arial" w:cs="Arial"/>
          <w:sz w:val="24"/>
          <w:szCs w:val="24"/>
        </w:rPr>
      </w:pPr>
    </w:p>
    <w:p w14:paraId="403D45F1">
      <w:pPr>
        <w:pStyle w:val="3"/>
        <w:numPr>
          <w:ilvl w:val="0"/>
          <w:numId w:val="0"/>
        </w:numPr>
        <w:spacing w:before="0" w:after="0" w:line="360" w:lineRule="auto"/>
        <w:jc w:val="center"/>
        <w:rPr>
          <w:rFonts w:ascii="Arial" w:hAnsi="Arial" w:cs="Arial"/>
          <w:sz w:val="32"/>
          <w:szCs w:val="32"/>
        </w:rPr>
      </w:pPr>
      <w:bookmarkStart w:id="15" w:name="_Toc5646018"/>
      <w:bookmarkStart w:id="16" w:name="_Toc243662706"/>
      <w:bookmarkStart w:id="17" w:name="_Toc168395426"/>
      <w:r>
        <w:rPr>
          <w:rFonts w:ascii="Arial" w:hAnsi="Arial" w:cs="Arial"/>
          <w:sz w:val="32"/>
          <w:szCs w:val="32"/>
        </w:rPr>
        <w:t xml:space="preserve">第二章   </w:t>
      </w:r>
      <w:bookmarkEnd w:id="15"/>
      <w:r>
        <w:rPr>
          <w:rFonts w:ascii="Arial" w:hAnsi="Arial" w:cs="Arial"/>
          <w:sz w:val="32"/>
          <w:szCs w:val="32"/>
        </w:rPr>
        <w:t>投标需携带的文件格式</w:t>
      </w:r>
      <w:bookmarkEnd w:id="16"/>
      <w:bookmarkEnd w:id="17"/>
    </w:p>
    <w:p w14:paraId="5FB61F46">
      <w:pPr>
        <w:spacing w:line="360" w:lineRule="auto"/>
        <w:ind w:left="420"/>
        <w:rPr>
          <w:rFonts w:ascii="Arial" w:hAnsi="Arial" w:cs="Arial"/>
          <w:sz w:val="24"/>
          <w:szCs w:val="24"/>
        </w:rPr>
      </w:pPr>
    </w:p>
    <w:p w14:paraId="0C694A43">
      <w:pPr>
        <w:pStyle w:val="4"/>
        <w:numPr>
          <w:ilvl w:val="0"/>
          <w:numId w:val="0"/>
        </w:numPr>
        <w:spacing w:before="0" w:after="0" w:line="360" w:lineRule="auto"/>
        <w:jc w:val="center"/>
        <w:rPr>
          <w:rFonts w:eastAsia="宋体" w:cs="Arial"/>
          <w:b w:val="0"/>
        </w:rPr>
      </w:pPr>
      <w:bookmarkStart w:id="18" w:name="_Toc243662707"/>
      <w:bookmarkStart w:id="19" w:name="_Toc241332769"/>
      <w:r>
        <w:rPr>
          <w:rFonts w:eastAsia="宋体" w:cs="Arial"/>
          <w:b w:val="0"/>
        </w:rPr>
        <w:t>投标文件封面格式</w:t>
      </w:r>
      <w:bookmarkEnd w:id="18"/>
      <w:bookmarkEnd w:id="19"/>
    </w:p>
    <w:p w14:paraId="6076F00E">
      <w:pPr>
        <w:rPr>
          <w:rFonts w:ascii="Arial" w:hAnsi="Arial" w:cs="Arial"/>
        </w:rPr>
      </w:pPr>
    </w:p>
    <w:p w14:paraId="632DB89D">
      <w:pPr>
        <w:snapToGrid w:val="0"/>
        <w:spacing w:line="360" w:lineRule="auto"/>
        <w:jc w:val="center"/>
        <w:rPr>
          <w:rFonts w:ascii="Arial" w:hAnsi="Arial" w:cs="Arial"/>
          <w:bCs/>
          <w:sz w:val="28"/>
          <w:szCs w:val="28"/>
        </w:rPr>
      </w:pPr>
    </w:p>
    <w:p w14:paraId="627B0E79">
      <w:pPr>
        <w:snapToGrid w:val="0"/>
        <w:spacing w:line="360" w:lineRule="auto"/>
        <w:jc w:val="center"/>
        <w:rPr>
          <w:rFonts w:ascii="Arial" w:hAnsi="Arial" w:cs="Arial"/>
          <w:bCs/>
          <w:sz w:val="30"/>
          <w:szCs w:val="30"/>
        </w:rPr>
      </w:pPr>
      <w:r>
        <w:rPr>
          <w:rFonts w:ascii="Arial" w:hAnsi="Arial" w:cs="Arial"/>
          <w:sz w:val="30"/>
          <w:szCs w:val="30"/>
        </w:rPr>
        <w:t>项目名称：</w:t>
      </w:r>
      <w:r>
        <w:rPr>
          <w:rFonts w:ascii="宋体" w:hAnsi="宋体" w:cs="宋体"/>
          <w:sz w:val="24"/>
          <w:szCs w:val="24"/>
        </w:rPr>
        <w:t>赤峰金通铜业有限公司废气在线监测设备运维</w:t>
      </w:r>
    </w:p>
    <w:p w14:paraId="5C09D103">
      <w:pPr>
        <w:snapToGrid w:val="0"/>
        <w:spacing w:line="360" w:lineRule="auto"/>
        <w:jc w:val="center"/>
        <w:rPr>
          <w:rFonts w:ascii="Arial" w:hAnsi="Arial" w:cs="Arial"/>
          <w:bCs/>
          <w:sz w:val="28"/>
          <w:szCs w:val="28"/>
        </w:rPr>
      </w:pPr>
    </w:p>
    <w:p w14:paraId="518F1C21">
      <w:pPr>
        <w:snapToGrid w:val="0"/>
        <w:spacing w:line="360" w:lineRule="auto"/>
        <w:jc w:val="center"/>
        <w:rPr>
          <w:rFonts w:ascii="Arial" w:hAnsi="Arial" w:cs="Arial"/>
          <w:bCs/>
          <w:sz w:val="28"/>
          <w:szCs w:val="28"/>
        </w:rPr>
      </w:pPr>
    </w:p>
    <w:p w14:paraId="1AF9A586">
      <w:pPr>
        <w:jc w:val="center"/>
        <w:rPr>
          <w:rFonts w:ascii="Arial" w:hAnsi="Arial" w:cs="Arial"/>
          <w:sz w:val="72"/>
          <w:szCs w:val="72"/>
        </w:rPr>
      </w:pPr>
      <w:r>
        <w:rPr>
          <w:rFonts w:ascii="Arial" w:hAnsi="Arial" w:cs="Arial"/>
          <w:sz w:val="72"/>
          <w:szCs w:val="72"/>
        </w:rPr>
        <w:t>投标文件</w:t>
      </w:r>
    </w:p>
    <w:p w14:paraId="38B09BEF">
      <w:pPr>
        <w:snapToGrid w:val="0"/>
        <w:spacing w:line="360" w:lineRule="auto"/>
        <w:jc w:val="center"/>
        <w:rPr>
          <w:rFonts w:ascii="Arial" w:hAnsi="Arial" w:cs="Arial"/>
          <w:bCs/>
          <w:sz w:val="28"/>
          <w:szCs w:val="28"/>
        </w:rPr>
      </w:pPr>
    </w:p>
    <w:p w14:paraId="57BE656A">
      <w:pPr>
        <w:snapToGrid w:val="0"/>
        <w:spacing w:line="360" w:lineRule="auto"/>
        <w:jc w:val="center"/>
        <w:rPr>
          <w:rFonts w:ascii="Arial" w:hAnsi="Arial" w:cs="Arial"/>
          <w:bCs/>
          <w:sz w:val="28"/>
          <w:szCs w:val="28"/>
        </w:rPr>
      </w:pPr>
    </w:p>
    <w:p w14:paraId="020B54AB">
      <w:pPr>
        <w:snapToGrid w:val="0"/>
        <w:spacing w:line="360" w:lineRule="auto"/>
        <w:jc w:val="center"/>
        <w:rPr>
          <w:rFonts w:ascii="Arial" w:hAnsi="Arial" w:cs="Arial"/>
          <w:bCs/>
          <w:sz w:val="28"/>
          <w:szCs w:val="28"/>
        </w:rPr>
      </w:pPr>
    </w:p>
    <w:p w14:paraId="5004DF55">
      <w:pPr>
        <w:snapToGrid w:val="0"/>
        <w:spacing w:line="360" w:lineRule="auto"/>
        <w:jc w:val="center"/>
        <w:rPr>
          <w:rFonts w:ascii="Arial" w:hAnsi="Arial" w:cs="Arial"/>
          <w:bCs/>
          <w:sz w:val="28"/>
          <w:szCs w:val="28"/>
        </w:rPr>
      </w:pPr>
    </w:p>
    <w:p w14:paraId="111409E4">
      <w:pPr>
        <w:snapToGrid w:val="0"/>
        <w:spacing w:line="360" w:lineRule="auto"/>
        <w:jc w:val="center"/>
        <w:rPr>
          <w:rFonts w:ascii="Arial" w:hAnsi="Arial" w:cs="Arial"/>
          <w:bCs/>
          <w:sz w:val="28"/>
          <w:szCs w:val="28"/>
        </w:rPr>
      </w:pPr>
    </w:p>
    <w:p w14:paraId="77DC8FE4">
      <w:pPr>
        <w:spacing w:line="360" w:lineRule="auto"/>
        <w:rPr>
          <w:rFonts w:ascii="Arial" w:hAnsi="Arial" w:cs="Arial"/>
          <w:sz w:val="28"/>
          <w:szCs w:val="28"/>
          <w:u w:val="single"/>
        </w:rPr>
      </w:pPr>
      <w:r>
        <w:rPr>
          <w:rFonts w:ascii="Arial" w:hAnsi="Arial" w:cs="Arial"/>
          <w:sz w:val="28"/>
          <w:szCs w:val="28"/>
        </w:rPr>
        <w:t>服务商：</w:t>
      </w:r>
      <w:r>
        <w:rPr>
          <w:rFonts w:ascii="Arial" w:hAnsi="Arial" w:cs="Arial"/>
          <w:sz w:val="28"/>
          <w:szCs w:val="28"/>
          <w:u w:val="single"/>
        </w:rPr>
        <w:t xml:space="preserve">                                            （盖章） </w:t>
      </w:r>
    </w:p>
    <w:p w14:paraId="3E773BC9">
      <w:pPr>
        <w:spacing w:line="360" w:lineRule="auto"/>
        <w:ind w:firstLine="1680"/>
        <w:rPr>
          <w:rFonts w:ascii="Arial" w:hAnsi="Arial" w:cs="Arial"/>
          <w:sz w:val="28"/>
          <w:szCs w:val="28"/>
        </w:rPr>
      </w:pPr>
    </w:p>
    <w:p w14:paraId="53104F0B">
      <w:pPr>
        <w:spacing w:line="360" w:lineRule="auto"/>
        <w:rPr>
          <w:rFonts w:ascii="Arial" w:hAnsi="Arial" w:cs="Arial"/>
          <w:sz w:val="28"/>
          <w:szCs w:val="28"/>
        </w:rPr>
      </w:pPr>
      <w:r>
        <w:rPr>
          <w:rFonts w:ascii="Arial" w:hAnsi="Arial" w:cs="Arial"/>
          <w:sz w:val="28"/>
          <w:szCs w:val="28"/>
        </w:rPr>
        <w:t>法定代表人或其授权代理人：</w:t>
      </w:r>
      <w:r>
        <w:rPr>
          <w:rFonts w:ascii="Arial" w:hAnsi="Arial" w:cs="Arial"/>
          <w:sz w:val="28"/>
          <w:szCs w:val="28"/>
          <w:u w:val="single"/>
        </w:rPr>
        <w:t xml:space="preserve"> （签字或盖章） </w:t>
      </w:r>
    </w:p>
    <w:p w14:paraId="5FD75677">
      <w:pPr>
        <w:jc w:val="center"/>
        <w:rPr>
          <w:rFonts w:ascii="Arial" w:hAnsi="Arial" w:cs="Arial"/>
          <w:sz w:val="28"/>
          <w:szCs w:val="28"/>
        </w:rPr>
      </w:pPr>
    </w:p>
    <w:p w14:paraId="1635D541">
      <w:pPr>
        <w:spacing w:line="360" w:lineRule="auto"/>
        <w:ind w:left="420" w:firstLine="1260"/>
        <w:rPr>
          <w:rFonts w:ascii="Arial" w:hAnsi="Arial" w:cs="Arial"/>
          <w:sz w:val="24"/>
          <w:szCs w:val="24"/>
        </w:rPr>
      </w:pPr>
      <w:r>
        <w:rPr>
          <w:rFonts w:ascii="Arial" w:hAnsi="Arial" w:cs="Arial"/>
          <w:sz w:val="28"/>
          <w:szCs w:val="28"/>
        </w:rPr>
        <w:t>日期：</w:t>
      </w:r>
      <w:r>
        <w:rPr>
          <w:rFonts w:ascii="Arial" w:hAnsi="Arial" w:cs="Arial"/>
          <w:sz w:val="28"/>
          <w:szCs w:val="28"/>
          <w:u w:val="single"/>
        </w:rPr>
        <w:t xml:space="preserve">    </w:t>
      </w:r>
      <w:r>
        <w:rPr>
          <w:rFonts w:ascii="Arial" w:hAnsi="Arial" w:cs="Arial"/>
          <w:sz w:val="28"/>
          <w:szCs w:val="28"/>
        </w:rPr>
        <w:t>年</w:t>
      </w:r>
      <w:r>
        <w:rPr>
          <w:rFonts w:ascii="Arial" w:hAnsi="Arial" w:cs="Arial"/>
          <w:sz w:val="28"/>
          <w:szCs w:val="28"/>
          <w:u w:val="single"/>
        </w:rPr>
        <w:t xml:space="preserve">       </w:t>
      </w:r>
      <w:r>
        <w:rPr>
          <w:rFonts w:ascii="Arial" w:hAnsi="Arial" w:cs="Arial"/>
          <w:sz w:val="28"/>
          <w:szCs w:val="28"/>
        </w:rPr>
        <w:t>月</w:t>
      </w:r>
      <w:r>
        <w:rPr>
          <w:rFonts w:ascii="Arial" w:hAnsi="Arial" w:cs="Arial"/>
          <w:sz w:val="28"/>
          <w:szCs w:val="28"/>
          <w:u w:val="single"/>
        </w:rPr>
        <w:t xml:space="preserve">       </w:t>
      </w:r>
      <w:r>
        <w:rPr>
          <w:rFonts w:ascii="Arial" w:hAnsi="Arial" w:cs="Arial"/>
          <w:sz w:val="28"/>
          <w:szCs w:val="28"/>
        </w:rPr>
        <w:t>日</w:t>
      </w:r>
    </w:p>
    <w:p w14:paraId="1DD3C49B">
      <w:pPr>
        <w:spacing w:line="360" w:lineRule="auto"/>
        <w:rPr>
          <w:rFonts w:ascii="Arial" w:hAnsi="Arial" w:cs="Arial"/>
          <w:sz w:val="24"/>
          <w:szCs w:val="24"/>
        </w:rPr>
      </w:pPr>
    </w:p>
    <w:p w14:paraId="2AF9551F">
      <w:pPr>
        <w:pStyle w:val="2"/>
        <w:ind w:firstLine="480"/>
        <w:rPr>
          <w:rFonts w:ascii="Arial" w:hAnsi="Arial" w:cs="Arial"/>
          <w:color w:val="auto"/>
          <w:sz w:val="24"/>
          <w:szCs w:val="24"/>
        </w:rPr>
      </w:pPr>
    </w:p>
    <w:p w14:paraId="05BDF726">
      <w:pPr>
        <w:pStyle w:val="2"/>
        <w:ind w:firstLine="480"/>
        <w:rPr>
          <w:rFonts w:ascii="Arial" w:hAnsi="Arial" w:cs="Arial"/>
          <w:color w:val="auto"/>
          <w:sz w:val="24"/>
          <w:szCs w:val="24"/>
        </w:rPr>
      </w:pPr>
    </w:p>
    <w:p w14:paraId="6FCD9B34">
      <w:pPr>
        <w:pStyle w:val="4"/>
        <w:numPr>
          <w:ilvl w:val="0"/>
          <w:numId w:val="0"/>
        </w:numPr>
        <w:spacing w:before="240" w:line="360" w:lineRule="auto"/>
        <w:jc w:val="center"/>
        <w:rPr>
          <w:rFonts w:eastAsia="宋体" w:cs="Arial"/>
          <w:sz w:val="28"/>
          <w:szCs w:val="28"/>
        </w:rPr>
      </w:pPr>
      <w:bookmarkStart w:id="20" w:name="_Toc168395427"/>
      <w:bookmarkStart w:id="21" w:name="_Toc243662708"/>
      <w:r>
        <w:rPr>
          <w:rFonts w:eastAsia="宋体" w:cs="Arial"/>
          <w:sz w:val="28"/>
          <w:szCs w:val="28"/>
        </w:rPr>
        <w:t>一、报价承诺函</w:t>
      </w:r>
      <w:bookmarkEnd w:id="20"/>
      <w:bookmarkEnd w:id="21"/>
    </w:p>
    <w:p w14:paraId="6EB2F1E9">
      <w:pPr>
        <w:spacing w:line="360" w:lineRule="auto"/>
        <w:rPr>
          <w:rFonts w:hint="eastAsia" w:ascii="宋体" w:hAnsi="宋体"/>
          <w:b/>
          <w:bCs/>
          <w:sz w:val="24"/>
        </w:rPr>
      </w:pPr>
      <w:r>
        <w:rPr>
          <w:rFonts w:ascii="宋体" w:hAnsi="宋体"/>
          <w:sz w:val="24"/>
        </w:rPr>
        <w:t>致</w:t>
      </w:r>
      <w:r>
        <w:rPr>
          <w:rFonts w:ascii="宋体" w:hAnsi="宋体"/>
          <w:b/>
          <w:bCs/>
          <w:sz w:val="24"/>
        </w:rPr>
        <w:t>：</w:t>
      </w:r>
      <w:r>
        <w:rPr>
          <w:rFonts w:ascii="宋体" w:hAnsi="宋体"/>
          <w:b/>
          <w:bCs/>
          <w:sz w:val="24"/>
          <w:u w:val="single"/>
        </w:rPr>
        <w:t>赤峰金通铜业有限公司</w:t>
      </w:r>
    </w:p>
    <w:p w14:paraId="6B0AB5CC">
      <w:pPr>
        <w:snapToGrid w:val="0"/>
        <w:spacing w:line="500" w:lineRule="exact"/>
        <w:ind w:firstLine="432"/>
        <w:rPr>
          <w:rFonts w:hint="eastAsia" w:ascii="宋体" w:hAnsi="宋体"/>
          <w:sz w:val="24"/>
        </w:rPr>
      </w:pPr>
      <w:r>
        <w:rPr>
          <w:rFonts w:ascii="宋体" w:hAnsi="宋体"/>
          <w:sz w:val="24"/>
        </w:rPr>
        <w:t>我方在详细阅读了</w:t>
      </w:r>
      <w:r>
        <w:rPr>
          <w:rFonts w:ascii="宋体" w:hAnsi="宋体"/>
          <w:sz w:val="24"/>
          <w:u w:val="single"/>
        </w:rPr>
        <w:t xml:space="preserve">           </w:t>
      </w:r>
      <w:r>
        <w:rPr>
          <w:rFonts w:ascii="宋体" w:hAnsi="宋体"/>
          <w:b/>
          <w:sz w:val="24"/>
          <w:u w:val="single"/>
        </w:rPr>
        <w:t xml:space="preserve"> </w:t>
      </w:r>
      <w:r>
        <w:rPr>
          <w:rFonts w:ascii="宋体" w:hAnsi="宋体"/>
          <w:b/>
          <w:sz w:val="28"/>
          <w:szCs w:val="28"/>
          <w:u w:val="single"/>
        </w:rPr>
        <w:t xml:space="preserve"> </w:t>
      </w:r>
      <w:r>
        <w:rPr>
          <w:rFonts w:ascii="宋体" w:hAnsi="宋体"/>
          <w:sz w:val="24"/>
        </w:rPr>
        <w:t xml:space="preserve">招标文件后，自愿参加投标，并就有关事项向贵方郑重承诺如下： </w:t>
      </w:r>
    </w:p>
    <w:p w14:paraId="7258649D">
      <w:pPr>
        <w:spacing w:line="500" w:lineRule="exact"/>
        <w:ind w:right="-91" w:firstLine="480"/>
        <w:rPr>
          <w:rFonts w:hint="eastAsia" w:ascii="宋体" w:hAnsi="宋体"/>
          <w:sz w:val="24"/>
        </w:rPr>
      </w:pPr>
      <w:r>
        <w:rPr>
          <w:rFonts w:ascii="宋体" w:hAnsi="宋体"/>
          <w:sz w:val="24"/>
        </w:rPr>
        <w:t>1、遵守中华人民共和国有关招标投标的法律法规规定，自觉维护市场秩序。若有违反，同意被废除投标资格并接受处罚。</w:t>
      </w:r>
    </w:p>
    <w:p w14:paraId="26DB348B">
      <w:pPr>
        <w:spacing w:line="500" w:lineRule="exact"/>
        <w:ind w:right="-89" w:firstLine="480"/>
        <w:rPr>
          <w:rFonts w:hint="eastAsia" w:ascii="宋体" w:hAnsi="宋体"/>
          <w:sz w:val="24"/>
        </w:rPr>
      </w:pPr>
      <w:r>
        <w:rPr>
          <w:rFonts w:ascii="宋体" w:hAnsi="宋体"/>
          <w:sz w:val="24"/>
        </w:rPr>
        <w:t>2、接受招标文件全部内容，若有违反，同意被废除投标资格并接受处罚。</w:t>
      </w:r>
    </w:p>
    <w:p w14:paraId="73AE75A4">
      <w:pPr>
        <w:spacing w:line="500" w:lineRule="exact"/>
        <w:ind w:right="-91" w:firstLine="480"/>
        <w:rPr>
          <w:rFonts w:hint="eastAsia" w:ascii="宋体" w:hAnsi="宋体"/>
          <w:sz w:val="24"/>
        </w:rPr>
      </w:pPr>
      <w:r>
        <w:rPr>
          <w:rFonts w:ascii="宋体" w:hAnsi="宋体"/>
          <w:sz w:val="24"/>
        </w:rPr>
        <w:t>3、保证投标文件内容无任何虚假。若评标过程中查出有虚假，同意作无效投标文件处理并被没收投标保证，若中标之后查出有虚假，同意废除中标资格，承担</w:t>
      </w:r>
      <w:r>
        <w:rPr>
          <w:rStyle w:val="14"/>
          <w:rFonts w:ascii="宋体" w:hAnsi="宋体"/>
          <w:b w:val="0"/>
          <w:bCs w:val="0"/>
          <w:sz w:val="24"/>
        </w:rPr>
        <w:t>由此引起的全部法律责任和经济责任</w:t>
      </w:r>
      <w:r>
        <w:rPr>
          <w:rFonts w:ascii="宋体" w:hAnsi="宋体"/>
          <w:sz w:val="24"/>
        </w:rPr>
        <w:t>。</w:t>
      </w:r>
    </w:p>
    <w:p w14:paraId="6047047A">
      <w:pPr>
        <w:spacing w:line="500" w:lineRule="exact"/>
        <w:ind w:right="-91" w:firstLine="480"/>
        <w:rPr>
          <w:rFonts w:hint="eastAsia" w:ascii="宋体" w:hAnsi="宋体"/>
          <w:sz w:val="24"/>
        </w:rPr>
      </w:pPr>
      <w:r>
        <w:rPr>
          <w:rFonts w:ascii="宋体" w:hAnsi="宋体"/>
          <w:sz w:val="24"/>
        </w:rPr>
        <w:t>4、保证按照招标文件及中标通知书规定签废气在线设备年度运维合同。</w:t>
      </w:r>
    </w:p>
    <w:p w14:paraId="71A3BE22">
      <w:pPr>
        <w:spacing w:line="500" w:lineRule="exact"/>
        <w:ind w:right="-89" w:firstLine="480"/>
        <w:rPr>
          <w:rFonts w:hint="eastAsia" w:ascii="宋体" w:hAnsi="宋体"/>
          <w:sz w:val="24"/>
        </w:rPr>
      </w:pPr>
      <w:r>
        <w:rPr>
          <w:rFonts w:ascii="宋体" w:hAnsi="宋体"/>
          <w:sz w:val="24"/>
        </w:rPr>
        <w:t>5、保证按照废气在线设备年度运维合同约定完成合同范围内的全部内容。如有违反，同意接受招标人对本投标人违诺处罚。</w:t>
      </w:r>
    </w:p>
    <w:p w14:paraId="70932806">
      <w:pPr>
        <w:spacing w:line="500" w:lineRule="exact"/>
        <w:ind w:right="-89" w:firstLine="480"/>
        <w:rPr>
          <w:rFonts w:hint="eastAsia" w:ascii="宋体" w:hAnsi="宋体"/>
          <w:sz w:val="24"/>
        </w:rPr>
      </w:pPr>
      <w:r>
        <w:rPr>
          <w:rFonts w:ascii="宋体" w:hAnsi="宋体"/>
          <w:sz w:val="24"/>
        </w:rPr>
        <w:t>6、保证中标之后不转包、不挂靠，若分包将征得招标人同意并遵守相关法律法规的规定。</w:t>
      </w:r>
    </w:p>
    <w:p w14:paraId="63063410">
      <w:pPr>
        <w:spacing w:line="500" w:lineRule="exact"/>
        <w:ind w:right="-91" w:firstLine="480"/>
        <w:rPr>
          <w:rFonts w:hint="eastAsia" w:ascii="宋体" w:hAnsi="宋体"/>
          <w:sz w:val="24"/>
        </w:rPr>
      </w:pPr>
      <w:r>
        <w:rPr>
          <w:rFonts w:ascii="宋体" w:hAnsi="宋体"/>
          <w:sz w:val="24"/>
        </w:rPr>
        <w:t>7、保证中标之后按投标文件承诺在废气在线设备年度运维各个阶段向招标项目派驻技术人员协助工作，如有违反，同意接受违约处罚。</w:t>
      </w:r>
    </w:p>
    <w:p w14:paraId="687D6D59">
      <w:pPr>
        <w:spacing w:line="500" w:lineRule="exact"/>
        <w:ind w:right="-91" w:firstLine="480"/>
        <w:rPr>
          <w:rFonts w:hint="eastAsia" w:ascii="宋体" w:hAnsi="宋体"/>
          <w:sz w:val="24"/>
        </w:rPr>
      </w:pPr>
      <w:r>
        <w:rPr>
          <w:rFonts w:ascii="宋体" w:hAnsi="宋体"/>
          <w:sz w:val="24"/>
        </w:rPr>
        <w:t>8、保证针对于本项目成立专职常驻的项目组，项目组成员仅为本项目服务，项目组的主要岗位负责人员必须具备充分履行合同义务的经验、资格和能力。</w:t>
      </w:r>
    </w:p>
    <w:p w14:paraId="46171901">
      <w:pPr>
        <w:spacing w:line="500" w:lineRule="exact"/>
        <w:ind w:right="-91" w:firstLine="480"/>
        <w:rPr>
          <w:rFonts w:hint="eastAsia" w:ascii="宋体" w:hAnsi="宋体"/>
          <w:sz w:val="24"/>
        </w:rPr>
      </w:pPr>
      <w:r>
        <w:rPr>
          <w:rFonts w:ascii="宋体" w:hAnsi="宋体"/>
          <w:sz w:val="24"/>
        </w:rPr>
        <w:t>9、保证项目组尽职、稳定地进行工作，派出的所有咨询人员遵守业主的相关规定，并确保在合同期间拥有必需的设备、人员、资金、材料、资源及知识产权的所有权或使用权，如有违反，同意接受处罚。</w:t>
      </w:r>
    </w:p>
    <w:p w14:paraId="01FFF46D">
      <w:pPr>
        <w:spacing w:line="500" w:lineRule="exact"/>
        <w:ind w:right="-91" w:firstLine="480"/>
        <w:rPr>
          <w:rFonts w:hint="eastAsia" w:ascii="宋体" w:hAnsi="宋体"/>
          <w:sz w:val="24"/>
        </w:rPr>
      </w:pPr>
      <w:r>
        <w:rPr>
          <w:rFonts w:ascii="宋体" w:hAnsi="宋体"/>
          <w:sz w:val="24"/>
        </w:rPr>
        <w:t>10、保证根据招标人的要求撤换不称职的项目组成员，由此而产生的所有费用及任何损害赔偿和责任均由中标人自行负责。</w:t>
      </w:r>
    </w:p>
    <w:p w14:paraId="3FE0B4B9">
      <w:pPr>
        <w:spacing w:line="500" w:lineRule="exact"/>
        <w:ind w:right="-91" w:firstLine="480"/>
        <w:rPr>
          <w:rFonts w:hint="eastAsia" w:ascii="宋体" w:hAnsi="宋体"/>
          <w:sz w:val="24"/>
        </w:rPr>
      </w:pPr>
      <w:r>
        <w:rPr>
          <w:rFonts w:ascii="宋体" w:hAnsi="宋体"/>
          <w:sz w:val="24"/>
        </w:rPr>
        <w:t>11、保证中标之后密切配合招标人开展工作，主动积极配合招标人代表的工作。</w:t>
      </w:r>
    </w:p>
    <w:p w14:paraId="1BEF0C13">
      <w:pPr>
        <w:spacing w:line="500" w:lineRule="exact"/>
        <w:ind w:right="-91" w:firstLine="480"/>
        <w:rPr>
          <w:rFonts w:hint="eastAsia" w:ascii="宋体" w:hAnsi="宋体"/>
          <w:sz w:val="24"/>
        </w:rPr>
      </w:pPr>
      <w:r>
        <w:rPr>
          <w:rFonts w:ascii="宋体" w:hAnsi="宋体"/>
          <w:sz w:val="24"/>
        </w:rPr>
        <w:t>12、保证按招标文件及工程咨询合同约定原则处理因业主原因增加或调整的工作量及其它事宜。</w:t>
      </w:r>
    </w:p>
    <w:p w14:paraId="6E3E837F">
      <w:pPr>
        <w:spacing w:line="500" w:lineRule="exact"/>
        <w:ind w:firstLine="480"/>
        <w:rPr>
          <w:rFonts w:hint="eastAsia" w:ascii="宋体" w:hAnsi="宋体"/>
          <w:sz w:val="24"/>
        </w:rPr>
      </w:pPr>
      <w:r>
        <w:rPr>
          <w:rFonts w:ascii="宋体" w:hAnsi="宋体"/>
          <w:sz w:val="24"/>
        </w:rPr>
        <w:t>13、同意本承诺函是合同不可分割的一部分，与合同具有同等法律效力。</w:t>
      </w:r>
    </w:p>
    <w:p w14:paraId="111C6CB5">
      <w:pPr>
        <w:spacing w:line="500" w:lineRule="exact"/>
        <w:rPr>
          <w:rFonts w:hint="eastAsia" w:ascii="宋体" w:hAnsi="宋体" w:cs="宋体"/>
          <w:sz w:val="24"/>
        </w:rPr>
      </w:pPr>
      <w:r>
        <w:rPr>
          <w:rFonts w:ascii="宋体" w:hAnsi="宋体"/>
          <w:sz w:val="24"/>
        </w:rPr>
        <w:t xml:space="preserve">    14、</w:t>
      </w:r>
      <w:r>
        <w:rPr>
          <w:rFonts w:ascii="宋体" w:hAnsi="宋体" w:cs="宋体"/>
          <w:sz w:val="24"/>
        </w:rPr>
        <w:t>本投标人近三年未受主管部门通报批评；</w:t>
      </w:r>
    </w:p>
    <w:p w14:paraId="4061911E">
      <w:pPr>
        <w:spacing w:line="500" w:lineRule="exact"/>
        <w:rPr>
          <w:rFonts w:hint="eastAsia" w:ascii="宋体" w:hAnsi="宋体" w:cs="宋体"/>
          <w:sz w:val="24"/>
        </w:rPr>
      </w:pPr>
      <w:r>
        <w:rPr>
          <w:rFonts w:ascii="宋体" w:hAnsi="宋体" w:cs="宋体"/>
          <w:sz w:val="24"/>
        </w:rPr>
        <w:t xml:space="preserve">    15、本投标人的成果，未发生过严重偏差及业主投诉。</w:t>
      </w:r>
    </w:p>
    <w:p w14:paraId="1EBD250A">
      <w:pPr>
        <w:spacing w:line="500" w:lineRule="exact"/>
        <w:ind w:firstLine="480"/>
        <w:rPr>
          <w:rFonts w:hint="eastAsia" w:ascii="宋体" w:hAnsi="宋体"/>
          <w:sz w:val="24"/>
        </w:rPr>
      </w:pPr>
      <w:r>
        <w:rPr>
          <w:rFonts w:ascii="宋体" w:hAnsi="宋体"/>
          <w:sz w:val="24"/>
        </w:rPr>
        <w:t xml:space="preserve"> </w:t>
      </w:r>
    </w:p>
    <w:p w14:paraId="79A48A2E">
      <w:pPr>
        <w:spacing w:line="500" w:lineRule="exact"/>
        <w:rPr>
          <w:rFonts w:hint="eastAsia" w:ascii="宋体" w:hAnsi="宋体"/>
          <w:sz w:val="24"/>
        </w:rPr>
      </w:pPr>
    </w:p>
    <w:p w14:paraId="56B45292">
      <w:pPr>
        <w:spacing w:line="500" w:lineRule="exact"/>
        <w:rPr>
          <w:rFonts w:hint="eastAsia" w:ascii="宋体" w:hAnsi="宋体"/>
          <w:sz w:val="24"/>
        </w:rPr>
      </w:pPr>
    </w:p>
    <w:p w14:paraId="4F6C2497">
      <w:pPr>
        <w:spacing w:line="500" w:lineRule="exact"/>
        <w:rPr>
          <w:rFonts w:hint="eastAsia" w:ascii="宋体" w:hAnsi="宋体"/>
          <w:sz w:val="24"/>
        </w:rPr>
      </w:pPr>
    </w:p>
    <w:p w14:paraId="635B61D6">
      <w:pPr>
        <w:spacing w:line="500" w:lineRule="exact"/>
        <w:rPr>
          <w:rFonts w:hint="eastAsia" w:ascii="宋体" w:hAnsi="宋体"/>
          <w:sz w:val="24"/>
        </w:rPr>
      </w:pPr>
      <w:r>
        <w:rPr>
          <w:rFonts w:ascii="宋体" w:hAnsi="宋体"/>
          <w:sz w:val="24"/>
        </w:rPr>
        <w:t xml:space="preserve">                                          投标人公章： </w:t>
      </w:r>
    </w:p>
    <w:p w14:paraId="049DCB77">
      <w:pPr>
        <w:spacing w:line="500" w:lineRule="exact"/>
        <w:rPr>
          <w:rFonts w:hint="eastAsia" w:ascii="宋体" w:hAnsi="宋体"/>
          <w:sz w:val="24"/>
        </w:rPr>
      </w:pPr>
      <w:r>
        <w:rPr>
          <w:rFonts w:ascii="宋体" w:hAnsi="宋体"/>
          <w:sz w:val="24"/>
        </w:rPr>
        <w:t xml:space="preserve">                                          法定代表人或委托代理人签字：</w:t>
      </w:r>
    </w:p>
    <w:p w14:paraId="6186B945">
      <w:pPr>
        <w:spacing w:line="360" w:lineRule="auto"/>
        <w:rPr>
          <w:rFonts w:ascii="Arial" w:hAnsi="Arial" w:cs="Arial"/>
          <w:sz w:val="24"/>
          <w:szCs w:val="24"/>
        </w:rPr>
      </w:pPr>
      <w:r>
        <w:rPr>
          <w:rFonts w:ascii="宋体" w:hAnsi="宋体"/>
          <w:sz w:val="24"/>
        </w:rPr>
        <w:t xml:space="preserve">                                          日      期：</w:t>
      </w:r>
      <w:r>
        <w:br w:type="page"/>
      </w:r>
    </w:p>
    <w:p w14:paraId="1995FB48">
      <w:pPr>
        <w:pStyle w:val="4"/>
        <w:numPr>
          <w:ilvl w:val="0"/>
          <w:numId w:val="0"/>
        </w:numPr>
        <w:spacing w:before="240" w:line="360" w:lineRule="auto"/>
        <w:jc w:val="center"/>
        <w:rPr>
          <w:rFonts w:eastAsia="宋体" w:cs="Arial"/>
          <w:sz w:val="28"/>
          <w:szCs w:val="28"/>
        </w:rPr>
      </w:pPr>
      <w:bookmarkStart w:id="22" w:name="_Toc168395428"/>
      <w:bookmarkStart w:id="23" w:name="_Toc243662709"/>
      <w:r>
        <w:rPr>
          <w:rFonts w:eastAsia="宋体" w:cs="Arial"/>
          <w:sz w:val="28"/>
          <w:szCs w:val="28"/>
        </w:rPr>
        <w:t>二、授权委托书</w:t>
      </w:r>
      <w:bookmarkEnd w:id="22"/>
      <w:bookmarkEnd w:id="23"/>
    </w:p>
    <w:p w14:paraId="06BAC6E7">
      <w:pPr>
        <w:pStyle w:val="6"/>
        <w:ind w:firstLine="480"/>
        <w:rPr>
          <w:rFonts w:hint="eastAsia" w:ascii="宋体" w:hAnsi="宋体"/>
          <w:sz w:val="24"/>
          <w:szCs w:val="24"/>
        </w:rPr>
      </w:pPr>
      <w:r>
        <w:rPr>
          <w:rFonts w:ascii="宋体" w:hAnsi="宋体"/>
          <w:sz w:val="24"/>
          <w:szCs w:val="24"/>
        </w:rPr>
        <w:t>本人（法定代表人姓名）系（投标人名称）的法定代表人，现委托（被授权委托人姓名）代表本人负责（项目名称）的投标活动，处理与之相关的事务，包括：获取招标投标相关文件、材料，提出相关问题，参加相关会议，签署、递交、撤回、修改、澄清、说明、补正资格预审申请文件、投标文件。</w:t>
      </w:r>
    </w:p>
    <w:p w14:paraId="0D4F3B06">
      <w:pPr>
        <w:pStyle w:val="6"/>
        <w:ind w:firstLine="480"/>
        <w:rPr>
          <w:rFonts w:hint="eastAsia" w:ascii="宋体" w:hAnsi="宋体"/>
          <w:sz w:val="24"/>
          <w:szCs w:val="24"/>
        </w:rPr>
      </w:pPr>
      <w:r>
        <w:rPr>
          <w:rFonts w:ascii="宋体" w:hAnsi="宋体"/>
          <w:sz w:val="24"/>
          <w:szCs w:val="24"/>
        </w:rPr>
        <w:t>委托期限自[       ]年[   ]月[   ]日起至[       ]年[   ]月[   ]日止。</w:t>
      </w:r>
    </w:p>
    <w:p w14:paraId="04046D01">
      <w:pPr>
        <w:pStyle w:val="6"/>
        <w:ind w:firstLine="480"/>
        <w:rPr>
          <w:rFonts w:hint="eastAsia" w:ascii="宋体" w:hAnsi="宋体"/>
          <w:sz w:val="24"/>
          <w:szCs w:val="24"/>
        </w:rPr>
      </w:pPr>
      <w:r>
        <w:rPr>
          <w:rFonts w:ascii="宋体" w:hAnsi="宋体"/>
          <w:sz w:val="24"/>
          <w:szCs w:val="24"/>
        </w:rPr>
        <w:t>被授权委托人无转委托权。</w:t>
      </w:r>
    </w:p>
    <w:p w14:paraId="1E8AFBF4">
      <w:pPr>
        <w:pStyle w:val="6"/>
        <w:ind w:firstLine="480"/>
        <w:rPr>
          <w:rFonts w:hint="eastAsia" w:ascii="宋体" w:hAnsi="宋体"/>
          <w:sz w:val="24"/>
          <w:szCs w:val="24"/>
        </w:rPr>
      </w:pPr>
      <w:r>
        <w:rPr>
          <w:rFonts w:ascii="宋体" w:hAnsi="宋体"/>
          <w:sz w:val="24"/>
          <w:szCs w:val="24"/>
        </w:rPr>
        <w:t>被授权委托人在以上期限之内从事授权范围之内的相关活动引起的一切法律责任均由投标人承担。</w:t>
      </w:r>
    </w:p>
    <w:p w14:paraId="5FBFFEDE">
      <w:pPr>
        <w:pStyle w:val="6"/>
        <w:rPr>
          <w:szCs w:val="21"/>
        </w:rPr>
      </w:pPr>
    </w:p>
    <w:p w14:paraId="1BFD028B">
      <w:pPr>
        <w:pStyle w:val="6"/>
        <w:rPr>
          <w:szCs w:val="21"/>
        </w:rPr>
      </w:pPr>
      <w:r>
        <w:rPr>
          <w:szCs w:val="21"/>
        </w:rPr>
        <w:t>附件：法定代表人身份证明</w:t>
      </w:r>
    </w:p>
    <w:p w14:paraId="4356EE3E">
      <w:pPr>
        <w:pStyle w:val="6"/>
        <w:rPr>
          <w:szCs w:val="21"/>
        </w:rPr>
      </w:pPr>
    </w:p>
    <w:p w14:paraId="098E3651">
      <w:pPr>
        <w:pStyle w:val="6"/>
        <w:rPr>
          <w:szCs w:val="21"/>
        </w:rPr>
      </w:pPr>
    </w:p>
    <w:p w14:paraId="156BC71B">
      <w:pPr>
        <w:pStyle w:val="6"/>
        <w:rPr>
          <w:szCs w:val="21"/>
        </w:rPr>
      </w:pPr>
    </w:p>
    <w:p w14:paraId="09212EF7">
      <w:pPr>
        <w:pStyle w:val="6"/>
        <w:rPr>
          <w:szCs w:val="21"/>
        </w:rPr>
      </w:pPr>
      <w:r>
        <w:rPr>
          <w:szCs w:val="21"/>
        </w:rPr>
        <w:t>投标人（法人公章）：</w:t>
      </w:r>
      <w:r>
        <w:rPr>
          <w:szCs w:val="21"/>
          <w:u w:val="single"/>
        </w:rPr>
        <w:t xml:space="preserve">                                                           </w:t>
      </w:r>
    </w:p>
    <w:p w14:paraId="76698A96">
      <w:pPr>
        <w:pStyle w:val="6"/>
        <w:rPr>
          <w:szCs w:val="21"/>
        </w:rPr>
      </w:pPr>
    </w:p>
    <w:p w14:paraId="4289F0D2">
      <w:pPr>
        <w:pStyle w:val="6"/>
        <w:rPr>
          <w:szCs w:val="21"/>
        </w:rPr>
      </w:pPr>
      <w:r>
        <w:rPr>
          <w:szCs w:val="21"/>
        </w:rPr>
        <w:t>法定代表人（签名或签章）：</w:t>
      </w:r>
      <w:r>
        <w:rPr>
          <w:szCs w:val="21"/>
          <w:u w:val="single"/>
        </w:rPr>
        <w:t xml:space="preserve">                                                     </w:t>
      </w:r>
    </w:p>
    <w:p w14:paraId="52A22CC4">
      <w:pPr>
        <w:pStyle w:val="6"/>
        <w:rPr>
          <w:szCs w:val="21"/>
        </w:rPr>
      </w:pPr>
    </w:p>
    <w:p w14:paraId="1DD0BD43">
      <w:pPr>
        <w:pStyle w:val="6"/>
        <w:rPr>
          <w:szCs w:val="21"/>
        </w:rPr>
      </w:pPr>
      <w:r>
        <w:rPr>
          <w:szCs w:val="21"/>
        </w:rPr>
        <w:t>被授权委托人（签名或签章）：</w:t>
      </w:r>
      <w:r>
        <w:rPr>
          <w:szCs w:val="21"/>
          <w:u w:val="single"/>
        </w:rPr>
        <w:t xml:space="preserve">                                                   </w:t>
      </w:r>
    </w:p>
    <w:p w14:paraId="27CDB079">
      <w:pPr>
        <w:pStyle w:val="6"/>
        <w:rPr>
          <w:szCs w:val="21"/>
        </w:rPr>
      </w:pPr>
    </w:p>
    <w:p w14:paraId="7BFE79A5">
      <w:pPr>
        <w:pStyle w:val="6"/>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6D8072A">
      <w:pPr>
        <w:rPr>
          <w:rFonts w:hint="eastAsia" w:ascii="宋体" w:hAnsi="宋体" w:cs="黑体"/>
        </w:rPr>
      </w:pPr>
    </w:p>
    <w:p w14:paraId="05A980A3">
      <w:pPr>
        <w:rPr>
          <w:rFonts w:hint="eastAsia" w:ascii="宋体" w:hAnsi="宋体" w:cs="黑体"/>
        </w:rPr>
      </w:pPr>
    </w:p>
    <w:p w14:paraId="1F488257">
      <w:pPr>
        <w:rPr>
          <w:rFonts w:hint="eastAsia" w:ascii="宋体" w:hAnsi="宋体" w:cs="黑体"/>
        </w:rPr>
      </w:pPr>
    </w:p>
    <w:tbl>
      <w:tblPr>
        <w:tblStyle w:val="11"/>
        <w:tblW w:w="8310" w:type="dxa"/>
        <w:jc w:val="center"/>
        <w:tblLayout w:type="fixed"/>
        <w:tblCellMar>
          <w:top w:w="0" w:type="dxa"/>
          <w:left w:w="108" w:type="dxa"/>
          <w:bottom w:w="0" w:type="dxa"/>
          <w:right w:w="108" w:type="dxa"/>
        </w:tblCellMar>
      </w:tblPr>
      <w:tblGrid>
        <w:gridCol w:w="8310"/>
      </w:tblGrid>
      <w:tr w14:paraId="29697BC8">
        <w:tblPrEx>
          <w:tblCellMar>
            <w:top w:w="0" w:type="dxa"/>
            <w:left w:w="108" w:type="dxa"/>
            <w:bottom w:w="0" w:type="dxa"/>
            <w:right w:w="108" w:type="dxa"/>
          </w:tblCellMar>
        </w:tblPrEx>
        <w:trPr>
          <w:trHeight w:val="4356" w:hRule="atLeast"/>
          <w:jc w:val="center"/>
        </w:trPr>
        <w:tc>
          <w:tcPr>
            <w:tcW w:w="8310" w:type="dxa"/>
            <w:tcBorders>
              <w:top w:val="single" w:color="000000" w:sz="4" w:space="0"/>
              <w:left w:val="single" w:color="000000" w:sz="4" w:space="0"/>
              <w:bottom w:val="single" w:color="000000" w:sz="4" w:space="0"/>
              <w:right w:val="single" w:color="000000" w:sz="4" w:space="0"/>
            </w:tcBorders>
            <w:vAlign w:val="center"/>
          </w:tcPr>
          <w:p w14:paraId="74A1DDB8">
            <w:pPr>
              <w:pStyle w:val="6"/>
              <w:widowControl w:val="0"/>
              <w:jc w:val="center"/>
              <w:rPr>
                <w:szCs w:val="21"/>
              </w:rPr>
            </w:pPr>
            <w:r>
              <w:rPr>
                <w:szCs w:val="21"/>
              </w:rPr>
              <w:t>粘贴被授权委托人身份证正反两面（护照）复印件</w:t>
            </w:r>
          </w:p>
        </w:tc>
      </w:tr>
    </w:tbl>
    <w:p w14:paraId="73C8F169">
      <w:pPr>
        <w:pStyle w:val="6"/>
        <w:rPr>
          <w:rFonts w:cs="黑体"/>
          <w:szCs w:val="21"/>
        </w:rPr>
      </w:pPr>
    </w:p>
    <w:p w14:paraId="3DA3BD62">
      <w:pPr>
        <w:tabs>
          <w:tab w:val="left" w:pos="0"/>
        </w:tabs>
        <w:spacing w:line="500" w:lineRule="exact"/>
        <w:ind w:left="360" w:right="-935"/>
        <w:jc w:val="center"/>
        <w:rPr>
          <w:rFonts w:ascii="Arial" w:hAnsi="Arial" w:cs="Arial"/>
          <w:sz w:val="24"/>
          <w:szCs w:val="24"/>
        </w:rPr>
      </w:pPr>
    </w:p>
    <w:p w14:paraId="7573C026">
      <w:pPr>
        <w:tabs>
          <w:tab w:val="left" w:pos="0"/>
        </w:tabs>
        <w:spacing w:line="500" w:lineRule="exact"/>
        <w:ind w:left="360" w:right="-935" w:firstLine="945"/>
        <w:rPr>
          <w:rFonts w:ascii="Arial" w:hAnsi="Arial" w:cs="Arial"/>
          <w:sz w:val="24"/>
          <w:szCs w:val="24"/>
        </w:rPr>
      </w:pPr>
      <w:r>
        <w:br w:type="page"/>
      </w:r>
    </w:p>
    <w:p w14:paraId="0BD7E5D8">
      <w:pPr>
        <w:pStyle w:val="4"/>
        <w:numPr>
          <w:ilvl w:val="0"/>
          <w:numId w:val="0"/>
        </w:numPr>
        <w:spacing w:before="240" w:line="360" w:lineRule="auto"/>
        <w:jc w:val="center"/>
        <w:rPr>
          <w:rFonts w:eastAsia="宋体" w:cs="Arial"/>
          <w:sz w:val="28"/>
          <w:szCs w:val="28"/>
        </w:rPr>
      </w:pPr>
      <w:bookmarkStart w:id="24" w:name="_Toc5646023"/>
      <w:bookmarkStart w:id="25" w:name="_Toc168395430"/>
      <w:bookmarkStart w:id="26" w:name="_Toc243662711"/>
      <w:r>
        <w:rPr>
          <w:rFonts w:eastAsia="宋体" w:cs="Arial"/>
          <w:sz w:val="28"/>
          <w:szCs w:val="28"/>
        </w:rPr>
        <w:t>三、</w:t>
      </w:r>
      <w:bookmarkEnd w:id="24"/>
      <w:r>
        <w:rPr>
          <w:rFonts w:eastAsia="宋体" w:cs="Arial"/>
          <w:sz w:val="28"/>
          <w:szCs w:val="28"/>
        </w:rPr>
        <w:t>报价表</w:t>
      </w:r>
      <w:bookmarkEnd w:id="25"/>
      <w:bookmarkEnd w:id="26"/>
    </w:p>
    <w:p w14:paraId="7EB1658D">
      <w:pPr>
        <w:rPr>
          <w:rFonts w:ascii="Arial" w:hAnsi="Arial" w:cs="Arial"/>
          <w:sz w:val="24"/>
          <w:szCs w:val="24"/>
        </w:rPr>
      </w:pPr>
    </w:p>
    <w:p w14:paraId="5E59B013">
      <w:pPr>
        <w:numPr>
          <w:ilvl w:val="0"/>
          <w:numId w:val="2"/>
        </w:numPr>
        <w:rPr>
          <w:rFonts w:ascii="Arial" w:hAnsi="Arial" w:cs="Arial"/>
          <w:sz w:val="24"/>
        </w:rPr>
      </w:pPr>
      <w:r>
        <w:rPr>
          <w:rFonts w:ascii="Arial" w:hAnsi="Arial" w:cs="Arial"/>
          <w:sz w:val="24"/>
        </w:rPr>
        <w:t>报价编制说明</w:t>
      </w:r>
    </w:p>
    <w:p w14:paraId="66376D3E">
      <w:pPr>
        <w:rPr>
          <w:rFonts w:ascii="Arial" w:hAnsi="Arial" w:cs="Arial"/>
          <w:sz w:val="24"/>
          <w:szCs w:val="24"/>
        </w:rPr>
      </w:pPr>
    </w:p>
    <w:p w14:paraId="0E19BD3C">
      <w:pPr>
        <w:spacing w:line="360" w:lineRule="auto"/>
        <w:ind w:firstLine="480"/>
        <w:rPr>
          <w:rFonts w:ascii="Arial" w:hAnsi="Arial" w:cs="Arial"/>
          <w:sz w:val="24"/>
          <w:szCs w:val="24"/>
        </w:rPr>
      </w:pPr>
      <w:r>
        <w:rPr>
          <w:rFonts w:ascii="Arial" w:hAnsi="Arial" w:cs="Arial"/>
          <w:sz w:val="24"/>
          <w:szCs w:val="24"/>
        </w:rPr>
        <w:t>本着友好合作，既有利于业主单位投资控制，又能保障工程的安全运行，根据评价报告工作的要求和内容，合理确定费用。</w:t>
      </w:r>
    </w:p>
    <w:p w14:paraId="23D2AB57">
      <w:pPr>
        <w:spacing w:line="360" w:lineRule="auto"/>
        <w:ind w:firstLine="480"/>
        <w:rPr>
          <w:rFonts w:ascii="Arial" w:hAnsi="Arial" w:cs="Arial"/>
          <w:sz w:val="24"/>
        </w:rPr>
      </w:pPr>
      <w:r>
        <w:rPr>
          <w:rFonts w:ascii="Arial" w:hAnsi="Arial" w:cs="Arial"/>
          <w:sz w:val="24"/>
        </w:rPr>
        <w:t>（2）报价汇总表</w:t>
      </w:r>
    </w:p>
    <w:tbl>
      <w:tblPr>
        <w:tblStyle w:val="11"/>
        <w:tblW w:w="8522" w:type="dxa"/>
        <w:jc w:val="center"/>
        <w:tblLayout w:type="fixed"/>
        <w:tblCellMar>
          <w:top w:w="0" w:type="dxa"/>
          <w:left w:w="108" w:type="dxa"/>
          <w:bottom w:w="0" w:type="dxa"/>
          <w:right w:w="108" w:type="dxa"/>
        </w:tblCellMar>
      </w:tblPr>
      <w:tblGrid>
        <w:gridCol w:w="876"/>
        <w:gridCol w:w="3394"/>
        <w:gridCol w:w="2268"/>
        <w:gridCol w:w="1984"/>
      </w:tblGrid>
      <w:tr w14:paraId="5677F96F">
        <w:tblPrEx>
          <w:tblCellMar>
            <w:top w:w="0" w:type="dxa"/>
            <w:left w:w="108" w:type="dxa"/>
            <w:bottom w:w="0"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0F9461CD">
            <w:pPr>
              <w:widowControl w:val="0"/>
              <w:spacing w:line="360" w:lineRule="auto"/>
              <w:jc w:val="center"/>
              <w:rPr>
                <w:rFonts w:ascii="Arial" w:hAnsi="Arial" w:cs="Arial"/>
                <w:sz w:val="24"/>
              </w:rPr>
            </w:pPr>
            <w:r>
              <w:rPr>
                <w:rFonts w:ascii="Arial" w:hAnsi="Arial" w:cs="Arial"/>
                <w:sz w:val="24"/>
              </w:rPr>
              <w:t>序号</w:t>
            </w:r>
          </w:p>
        </w:tc>
        <w:tc>
          <w:tcPr>
            <w:tcW w:w="3394" w:type="dxa"/>
            <w:tcBorders>
              <w:top w:val="single" w:color="000000" w:sz="4" w:space="0"/>
              <w:left w:val="single" w:color="000000" w:sz="4" w:space="0"/>
              <w:bottom w:val="single" w:color="000000" w:sz="4" w:space="0"/>
              <w:right w:val="single" w:color="000000" w:sz="4" w:space="0"/>
            </w:tcBorders>
            <w:vAlign w:val="center"/>
          </w:tcPr>
          <w:p w14:paraId="5C20E179">
            <w:pPr>
              <w:widowControl w:val="0"/>
              <w:spacing w:line="360" w:lineRule="auto"/>
              <w:jc w:val="center"/>
              <w:rPr>
                <w:rFonts w:ascii="Arial" w:hAnsi="Arial" w:cs="Arial"/>
                <w:sz w:val="24"/>
              </w:rPr>
            </w:pPr>
            <w:r>
              <w:rPr>
                <w:rFonts w:ascii="Arial" w:hAnsi="Arial" w:cs="Arial"/>
                <w:sz w:val="24"/>
              </w:rPr>
              <w:t>费用名称</w:t>
            </w:r>
          </w:p>
        </w:tc>
        <w:tc>
          <w:tcPr>
            <w:tcW w:w="2268" w:type="dxa"/>
            <w:tcBorders>
              <w:top w:val="single" w:color="000000" w:sz="4" w:space="0"/>
              <w:left w:val="single" w:color="000000" w:sz="4" w:space="0"/>
              <w:bottom w:val="single" w:color="000000" w:sz="4" w:space="0"/>
              <w:right w:val="single" w:color="000000" w:sz="4" w:space="0"/>
            </w:tcBorders>
            <w:vAlign w:val="center"/>
          </w:tcPr>
          <w:p w14:paraId="4E3C8F17">
            <w:pPr>
              <w:widowControl w:val="0"/>
              <w:spacing w:line="360" w:lineRule="auto"/>
              <w:jc w:val="center"/>
              <w:rPr>
                <w:rFonts w:ascii="Arial" w:hAnsi="Arial" w:cs="Arial"/>
                <w:sz w:val="24"/>
              </w:rPr>
            </w:pPr>
            <w:r>
              <w:rPr>
                <w:rFonts w:ascii="Arial" w:hAnsi="Arial" w:cs="Arial"/>
                <w:sz w:val="24"/>
              </w:rPr>
              <w:t>总价（万元）</w:t>
            </w:r>
          </w:p>
        </w:tc>
        <w:tc>
          <w:tcPr>
            <w:tcW w:w="1984" w:type="dxa"/>
            <w:tcBorders>
              <w:top w:val="single" w:color="000000" w:sz="4" w:space="0"/>
              <w:left w:val="single" w:color="000000" w:sz="4" w:space="0"/>
              <w:bottom w:val="single" w:color="000000" w:sz="4" w:space="0"/>
              <w:right w:val="single" w:color="000000" w:sz="4" w:space="0"/>
            </w:tcBorders>
            <w:vAlign w:val="center"/>
          </w:tcPr>
          <w:p w14:paraId="5C31D7DA">
            <w:pPr>
              <w:widowControl w:val="0"/>
              <w:spacing w:line="360" w:lineRule="auto"/>
              <w:jc w:val="center"/>
              <w:rPr>
                <w:rFonts w:ascii="Arial" w:hAnsi="Arial" w:cs="Arial"/>
                <w:sz w:val="24"/>
              </w:rPr>
            </w:pPr>
            <w:r>
              <w:rPr>
                <w:rFonts w:ascii="Arial" w:hAnsi="Arial" w:cs="Arial"/>
                <w:sz w:val="24"/>
              </w:rPr>
              <w:t>完成日期</w:t>
            </w:r>
          </w:p>
        </w:tc>
      </w:tr>
      <w:tr w14:paraId="0FF9302A">
        <w:tblPrEx>
          <w:tblCellMar>
            <w:top w:w="0" w:type="dxa"/>
            <w:left w:w="108" w:type="dxa"/>
            <w:bottom w:w="0" w:type="dxa"/>
            <w:right w:w="108" w:type="dxa"/>
          </w:tblCellMar>
        </w:tblPrEx>
        <w:trPr>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47381F43">
            <w:pPr>
              <w:widowControl w:val="0"/>
              <w:numPr>
                <w:ilvl w:val="0"/>
                <w:numId w:val="3"/>
              </w:numPr>
              <w:spacing w:line="360" w:lineRule="auto"/>
              <w:jc w:val="center"/>
              <w:rPr>
                <w:rFonts w:ascii="Arial" w:hAnsi="Arial" w:cs="Arial"/>
                <w:sz w:val="24"/>
              </w:rPr>
            </w:pPr>
          </w:p>
        </w:tc>
        <w:tc>
          <w:tcPr>
            <w:tcW w:w="3394" w:type="dxa"/>
            <w:tcBorders>
              <w:top w:val="single" w:color="000000" w:sz="4" w:space="0"/>
              <w:left w:val="single" w:color="000000" w:sz="4" w:space="0"/>
              <w:bottom w:val="single" w:color="000000" w:sz="4" w:space="0"/>
              <w:right w:val="single" w:color="000000" w:sz="4" w:space="0"/>
            </w:tcBorders>
            <w:vAlign w:val="center"/>
          </w:tcPr>
          <w:p w14:paraId="28E999E8">
            <w:pPr>
              <w:widowControl w:val="0"/>
              <w:spacing w:line="360" w:lineRule="auto"/>
              <w:jc w:val="center"/>
              <w:rPr>
                <w:rFonts w:ascii="Arial" w:hAnsi="Arial" w:cs="Arial"/>
                <w:sz w:val="24"/>
              </w:rPr>
            </w:pPr>
            <w:r>
              <w:rPr>
                <w:rFonts w:hint="eastAsia"/>
                <w:sz w:val="24"/>
                <w:szCs w:val="24"/>
                <w:lang w:val="en-US" w:eastAsia="zh-CN"/>
              </w:rPr>
              <w:t>2025年</w:t>
            </w:r>
            <w:r>
              <w:rPr>
                <w:sz w:val="24"/>
                <w:szCs w:val="24"/>
              </w:rPr>
              <w:t>废气在线监测设备运维</w:t>
            </w:r>
          </w:p>
        </w:tc>
        <w:tc>
          <w:tcPr>
            <w:tcW w:w="2268" w:type="dxa"/>
            <w:tcBorders>
              <w:top w:val="single" w:color="000000" w:sz="4" w:space="0"/>
              <w:left w:val="single" w:color="000000" w:sz="4" w:space="0"/>
              <w:bottom w:val="single" w:color="000000" w:sz="4" w:space="0"/>
              <w:right w:val="single" w:color="000000" w:sz="4" w:space="0"/>
            </w:tcBorders>
            <w:vAlign w:val="center"/>
          </w:tcPr>
          <w:p w14:paraId="6C12AEE3">
            <w:pPr>
              <w:widowControl w:val="0"/>
              <w:spacing w:line="360" w:lineRule="auto"/>
              <w:jc w:val="center"/>
              <w:rPr>
                <w:rFonts w:ascii="Arial" w:hAnsi="Arial" w:cs="Arial"/>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4DA4F9C">
            <w:pPr>
              <w:widowControl w:val="0"/>
              <w:spacing w:line="360" w:lineRule="auto"/>
              <w:jc w:val="center"/>
              <w:rPr>
                <w:rFonts w:ascii="Arial" w:hAnsi="Arial" w:cs="Arial"/>
                <w:sz w:val="24"/>
              </w:rPr>
            </w:pPr>
          </w:p>
        </w:tc>
      </w:tr>
    </w:tbl>
    <w:p w14:paraId="66D104D3">
      <w:pPr>
        <w:spacing w:line="360" w:lineRule="auto"/>
        <w:rPr>
          <w:rFonts w:ascii="Arial" w:hAnsi="Arial" w:cs="Arial"/>
          <w:sz w:val="24"/>
          <w:szCs w:val="24"/>
        </w:rPr>
      </w:pPr>
    </w:p>
    <w:p w14:paraId="06FE0EC6">
      <w:pPr>
        <w:spacing w:line="360" w:lineRule="auto"/>
        <w:ind w:firstLine="425"/>
        <w:rPr>
          <w:rFonts w:ascii="Arial" w:hAnsi="Arial" w:cs="Arial"/>
          <w:sz w:val="24"/>
          <w:szCs w:val="24"/>
        </w:rPr>
      </w:pPr>
    </w:p>
    <w:p w14:paraId="4FD5182D">
      <w:pPr>
        <w:spacing w:line="360" w:lineRule="auto"/>
        <w:ind w:left="850"/>
        <w:rPr>
          <w:rFonts w:ascii="Arial" w:hAnsi="Arial" w:cs="Arial"/>
          <w:sz w:val="24"/>
          <w:szCs w:val="24"/>
        </w:rPr>
      </w:pPr>
    </w:p>
    <w:p w14:paraId="6B91C7A9">
      <w:pPr>
        <w:spacing w:line="360" w:lineRule="auto"/>
        <w:ind w:left="850"/>
        <w:rPr>
          <w:rFonts w:ascii="Arial" w:hAnsi="Arial" w:cs="Arial"/>
          <w:sz w:val="24"/>
          <w:szCs w:val="24"/>
        </w:rPr>
      </w:pPr>
      <w:r>
        <w:rPr>
          <w:rFonts w:ascii="Arial" w:hAnsi="Arial" w:cs="Arial"/>
          <w:sz w:val="24"/>
          <w:szCs w:val="24"/>
        </w:rPr>
        <w:t>服务商：</w:t>
      </w:r>
    </w:p>
    <w:p w14:paraId="675B35AF">
      <w:pPr>
        <w:spacing w:line="360" w:lineRule="auto"/>
        <w:ind w:left="850"/>
        <w:rPr>
          <w:rFonts w:ascii="Arial" w:hAnsi="Arial" w:cs="Arial"/>
          <w:sz w:val="24"/>
          <w:szCs w:val="24"/>
        </w:rPr>
      </w:pPr>
    </w:p>
    <w:p w14:paraId="17CE3058">
      <w:pPr>
        <w:spacing w:line="360" w:lineRule="auto"/>
        <w:ind w:left="850"/>
        <w:rPr>
          <w:rFonts w:ascii="Arial" w:hAnsi="Arial" w:cs="Arial"/>
          <w:sz w:val="24"/>
          <w:szCs w:val="24"/>
        </w:rPr>
      </w:pPr>
      <w:r>
        <w:rPr>
          <w:rFonts w:ascii="Arial" w:hAnsi="Arial" w:cs="Arial"/>
          <w:sz w:val="24"/>
          <w:szCs w:val="24"/>
        </w:rPr>
        <w:t>法定代表人：</w:t>
      </w:r>
    </w:p>
    <w:p w14:paraId="6A24DDAB">
      <w:pPr>
        <w:spacing w:line="360" w:lineRule="auto"/>
        <w:ind w:left="850"/>
        <w:rPr>
          <w:rFonts w:ascii="Arial" w:hAnsi="Arial" w:cs="Arial"/>
          <w:sz w:val="24"/>
          <w:szCs w:val="24"/>
        </w:rPr>
      </w:pPr>
    </w:p>
    <w:p w14:paraId="434E81F8">
      <w:pPr>
        <w:spacing w:line="360" w:lineRule="auto"/>
        <w:ind w:left="850"/>
        <w:rPr>
          <w:rFonts w:ascii="Arial" w:hAnsi="Arial" w:cs="Arial"/>
          <w:sz w:val="24"/>
          <w:szCs w:val="24"/>
        </w:rPr>
      </w:pPr>
      <w:r>
        <w:rPr>
          <w:rFonts w:ascii="Arial" w:hAnsi="Arial" w:cs="Arial"/>
          <w:sz w:val="24"/>
          <w:szCs w:val="24"/>
        </w:rPr>
        <w:t>日期：</w:t>
      </w:r>
    </w:p>
    <w:p w14:paraId="5CF6034D">
      <w:pPr>
        <w:pStyle w:val="7"/>
        <w:snapToGrid w:val="0"/>
        <w:spacing w:line="360" w:lineRule="auto"/>
        <w:ind w:right="-102" w:firstLine="0"/>
        <w:rPr>
          <w:rFonts w:hint="eastAsia"/>
          <w:b/>
          <w:szCs w:val="28"/>
        </w:rPr>
      </w:pPr>
    </w:p>
    <w:p w14:paraId="488906F0">
      <w:pPr>
        <w:pStyle w:val="2"/>
        <w:ind w:firstLine="0"/>
        <w:rPr>
          <w:color w:val="auto"/>
        </w:rPr>
      </w:pPr>
    </w:p>
    <w:sectPr>
      <w:pgSz w:w="11906" w:h="16838"/>
      <w:pgMar w:top="1440" w:right="1800" w:bottom="1440" w:left="1800" w:header="0" w:footer="0" w:gutter="0"/>
      <w:cols w:space="720" w:num="1"/>
      <w:formProt w:val="0"/>
      <w:docGrid w:type="lines" w:linePitch="31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sanscjk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SC">
    <w:altName w:val="Segoe Print"/>
    <w:panose1 w:val="00000000000000000000"/>
    <w:charset w:val="01"/>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1145"/>
        </w:tabs>
        <w:ind w:left="1145" w:hanging="7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
    <w:nsid w:val="0053208E"/>
    <w:multiLevelType w:val="multilevel"/>
    <w:tmpl w:val="0053208E"/>
    <w:lvl w:ilvl="0" w:tentative="0">
      <w:start w:val="1"/>
      <w:numFmt w:val="decimal"/>
      <w:pStyle w:val="3"/>
      <w:lvlText w:val="%1."/>
      <w:lvlJc w:val="left"/>
      <w:pPr>
        <w:tabs>
          <w:tab w:val="left" w:pos="0"/>
        </w:tabs>
        <w:ind w:left="0" w:firstLine="0"/>
      </w:pPr>
    </w:lvl>
    <w:lvl w:ilvl="1" w:tentative="0">
      <w:start w:val="1"/>
      <w:numFmt w:val="decimal"/>
      <w:pStyle w:val="4"/>
      <w:lvlText w:val="1.%2"/>
      <w:lvlJc w:val="left"/>
      <w:pPr>
        <w:tabs>
          <w:tab w:val="left" w:pos="720"/>
        </w:tabs>
        <w:ind w:left="0" w:firstLine="0"/>
      </w:pPr>
      <w:rPr>
        <w:b w:val="0"/>
        <w:sz w:val="28"/>
      </w:rPr>
    </w:lvl>
    <w:lvl w:ilvl="2" w:tentative="0">
      <w:start w:val="1"/>
      <w:numFmt w:val="decimal"/>
      <w:lvlText w:val="%1.%2.%3"/>
      <w:lvlJc w:val="left"/>
      <w:pPr>
        <w:tabs>
          <w:tab w:val="left" w:pos="1080"/>
        </w:tabs>
        <w:ind w:left="0" w:firstLine="0"/>
      </w:pPr>
    </w:lvl>
    <w:lvl w:ilvl="3" w:tentative="0">
      <w:start w:val="1"/>
      <w:numFmt w:val="decimal"/>
      <w:lvlText w:val="%1.%2.%3.%4"/>
      <w:lvlJc w:val="left"/>
      <w:pPr>
        <w:tabs>
          <w:tab w:val="left" w:pos="0"/>
        </w:tabs>
        <w:ind w:left="0" w:firstLine="0"/>
      </w:pPr>
    </w:lvl>
    <w:lvl w:ilvl="4" w:tentative="0">
      <w:start w:val="1"/>
      <w:numFmt w:val="decimal"/>
      <w:lvlText w:val="%1.%2.%3.%4.%5"/>
      <w:lvlJc w:val="left"/>
      <w:pPr>
        <w:tabs>
          <w:tab w:val="left" w:pos="0"/>
        </w:tabs>
        <w:ind w:left="0" w:firstLine="0"/>
      </w:pPr>
    </w:lvl>
    <w:lvl w:ilvl="5" w:tentative="0">
      <w:start w:val="1"/>
      <w:numFmt w:val="decimal"/>
      <w:lvlText w:val="%1.%2.%3.%4.%5.%6"/>
      <w:lvlJc w:val="left"/>
      <w:pPr>
        <w:tabs>
          <w:tab w:val="left" w:pos="0"/>
        </w:tabs>
        <w:ind w:left="0" w:firstLine="0"/>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2">
    <w:nsid w:val="59ADCABA"/>
    <w:multiLevelType w:val="multilevel"/>
    <w:tmpl w:val="59ADCAB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Zjg2NWM4ZGFjYWE3N2I1ZWU5NDgxYTE1OTYzZTAifQ=="/>
  </w:docVars>
  <w:rsids>
    <w:rsidRoot w:val="00582D86"/>
    <w:rsid w:val="000804CC"/>
    <w:rsid w:val="00111328"/>
    <w:rsid w:val="003B245B"/>
    <w:rsid w:val="00582D86"/>
    <w:rsid w:val="007A274D"/>
    <w:rsid w:val="00914B9C"/>
    <w:rsid w:val="00B17ED5"/>
    <w:rsid w:val="00C42F73"/>
    <w:rsid w:val="03A76901"/>
    <w:rsid w:val="042A1D41"/>
    <w:rsid w:val="05F42A68"/>
    <w:rsid w:val="088C3CD7"/>
    <w:rsid w:val="0CA34CD4"/>
    <w:rsid w:val="0E2826F4"/>
    <w:rsid w:val="108E4BB9"/>
    <w:rsid w:val="120D7176"/>
    <w:rsid w:val="15E5618D"/>
    <w:rsid w:val="1C2C65DA"/>
    <w:rsid w:val="1E8F6DDD"/>
    <w:rsid w:val="214B42D7"/>
    <w:rsid w:val="218912A4"/>
    <w:rsid w:val="2366189C"/>
    <w:rsid w:val="23C44A07"/>
    <w:rsid w:val="25165D9F"/>
    <w:rsid w:val="2FB41C63"/>
    <w:rsid w:val="3E3C1CAC"/>
    <w:rsid w:val="476302E1"/>
    <w:rsid w:val="47835CCA"/>
    <w:rsid w:val="48E22791"/>
    <w:rsid w:val="4917167E"/>
    <w:rsid w:val="4DBA573C"/>
    <w:rsid w:val="5BC26590"/>
    <w:rsid w:val="5C227E0C"/>
    <w:rsid w:val="61680EEA"/>
    <w:rsid w:val="61E40691"/>
    <w:rsid w:val="6209276A"/>
    <w:rsid w:val="62EF449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notosanscjks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uppressAutoHyphens/>
    </w:pPr>
    <w:rPr>
      <w:rFonts w:ascii="Times New Roman" w:hAnsi="Times New Roman" w:cs="Times New Roman" w:eastAsiaTheme="minorEastAsia"/>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bCs/>
      <w:kern w:val="2"/>
      <w:sz w:val="44"/>
      <w:szCs w:val="44"/>
    </w:rPr>
  </w:style>
  <w:style w:type="paragraph" w:styleId="4">
    <w:name w:val="heading 2"/>
    <w:basedOn w:val="1"/>
    <w:next w:val="1"/>
    <w:autoRedefine/>
    <w:qFormat/>
    <w:uiPriority w:val="0"/>
    <w:pPr>
      <w:keepNext/>
      <w:keepLines/>
      <w:numPr>
        <w:ilvl w:val="1"/>
        <w:numId w:val="1"/>
      </w:numPr>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autoRedefine/>
    <w:qFormat/>
    <w:uiPriority w:val="0"/>
    <w:pPr>
      <w:ind w:firstLine="200"/>
    </w:pPr>
    <w:rPr>
      <w:color w:val="000000"/>
      <w:lang w:val="zh-CN"/>
    </w:rPr>
  </w:style>
  <w:style w:type="paragraph" w:styleId="5">
    <w:name w:val="caption"/>
    <w:basedOn w:val="1"/>
    <w:qFormat/>
    <w:uiPriority w:val="0"/>
    <w:pPr>
      <w:suppressLineNumbers/>
      <w:spacing w:before="120" w:after="120"/>
    </w:pPr>
    <w:rPr>
      <w:i/>
      <w:iCs/>
      <w:sz w:val="24"/>
      <w:szCs w:val="24"/>
    </w:rPr>
  </w:style>
  <w:style w:type="paragraph" w:styleId="6">
    <w:name w:val="Body Text"/>
    <w:basedOn w:val="1"/>
    <w:autoRedefine/>
    <w:qFormat/>
    <w:uiPriority w:val="0"/>
    <w:rPr>
      <w:sz w:val="28"/>
    </w:rPr>
  </w:style>
  <w:style w:type="paragraph" w:styleId="7">
    <w:name w:val="Body Text Indent 2"/>
    <w:basedOn w:val="1"/>
    <w:autoRedefine/>
    <w:qFormat/>
    <w:uiPriority w:val="0"/>
    <w:pPr>
      <w:spacing w:line="460" w:lineRule="exact"/>
      <w:ind w:firstLine="630"/>
    </w:pPr>
    <w:rPr>
      <w:rFonts w:ascii="宋体" w:hAnsi="宋体"/>
      <w:sz w:val="28"/>
    </w:rPr>
  </w:style>
  <w:style w:type="paragraph" w:styleId="8">
    <w:name w:val="footer"/>
    <w:basedOn w:val="1"/>
    <w:link w:val="16"/>
    <w:qFormat/>
    <w:uiPriority w:val="0"/>
    <w:pPr>
      <w:tabs>
        <w:tab w:val="center" w:pos="4153"/>
        <w:tab w:val="right" w:pos="8306"/>
      </w:tabs>
      <w:snapToGrid w:val="0"/>
    </w:pPr>
    <w:rPr>
      <w:sz w:val="18"/>
      <w:szCs w:val="18"/>
    </w:rPr>
  </w:style>
  <w:style w:type="paragraph" w:styleId="9">
    <w:name w:val="header"/>
    <w:basedOn w:val="1"/>
    <w:link w:val="15"/>
    <w:qFormat/>
    <w:uiPriority w:val="0"/>
    <w:pPr>
      <w:tabs>
        <w:tab w:val="center" w:pos="4153"/>
        <w:tab w:val="right" w:pos="8306"/>
      </w:tabs>
      <w:snapToGrid w:val="0"/>
      <w:jc w:val="center"/>
    </w:pPr>
    <w:rPr>
      <w:sz w:val="18"/>
      <w:szCs w:val="18"/>
    </w:rPr>
  </w:style>
  <w:style w:type="paragraph" w:styleId="10">
    <w:name w:val="List"/>
    <w:basedOn w:val="6"/>
    <w:qFormat/>
    <w:uiPriority w:val="0"/>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customStyle="1" w:styleId="15">
    <w:name w:val="页眉 字符"/>
    <w:basedOn w:val="13"/>
    <w:link w:val="9"/>
    <w:qFormat/>
    <w:uiPriority w:val="0"/>
    <w:rPr>
      <w:rFonts w:ascii="Times New Roman" w:hAnsi="Times New Roman" w:eastAsia="宋体" w:cs="Times New Roman"/>
      <w:sz w:val="18"/>
      <w:szCs w:val="18"/>
    </w:rPr>
  </w:style>
  <w:style w:type="character" w:customStyle="1" w:styleId="16">
    <w:name w:val="页脚 字符"/>
    <w:basedOn w:val="13"/>
    <w:link w:val="8"/>
    <w:qFormat/>
    <w:uiPriority w:val="0"/>
    <w:rPr>
      <w:rFonts w:ascii="Times New Roman" w:hAnsi="Times New Roman" w:eastAsia="宋体" w:cs="Times New Roman"/>
      <w:sz w:val="18"/>
      <w:szCs w:val="18"/>
    </w:rPr>
  </w:style>
  <w:style w:type="paragraph" w:customStyle="1" w:styleId="17">
    <w:name w:val="标题样式"/>
    <w:basedOn w:val="1"/>
    <w:next w:val="6"/>
    <w:qFormat/>
    <w:uiPriority w:val="0"/>
    <w:pPr>
      <w:keepNext/>
      <w:spacing w:before="240" w:after="120"/>
    </w:pPr>
    <w:rPr>
      <w:rFonts w:ascii="Noto Sans CJK SC" w:hAnsi="Noto Sans CJK SC" w:eastAsia="Noto Sans CJK SC" w:cs="Noto Sans CJK SC"/>
      <w:sz w:val="28"/>
      <w:szCs w:val="28"/>
    </w:rPr>
  </w:style>
  <w:style w:type="paragraph" w:customStyle="1" w:styleId="18">
    <w:name w:val="索引"/>
    <w:basedOn w:val="1"/>
    <w:qFormat/>
    <w:uiPriority w:val="0"/>
    <w:pPr>
      <w:suppressLineNumbers/>
    </w:pPr>
    <w:rPr>
      <w:lang w:val="zh-CN" w:bidi="zh-CN"/>
    </w:rPr>
  </w:style>
  <w:style w:type="paragraph" w:customStyle="1" w:styleId="19">
    <w:name w:val="修订1"/>
    <w:unhideWhenUsed/>
    <w:qFormat/>
    <w:uiPriority w:val="99"/>
    <w:pPr>
      <w:suppressAutoHyphens/>
    </w:pPr>
    <w:rPr>
      <w:rFonts w:ascii="Times New Roman" w:hAnsi="Times New Roman" w:cs="Times New Roman" w:eastAsiaTheme="minorEastAsia"/>
      <w:lang w:val="en-US" w:eastAsia="zh-CN" w:bidi="ar-SA"/>
    </w:rPr>
  </w:style>
  <w:style w:type="paragraph" w:customStyle="1" w:styleId="20">
    <w:name w:val="修订2"/>
    <w:unhideWhenUsed/>
    <w:qFormat/>
    <w:uiPriority w:val="99"/>
    <w:pPr>
      <w:suppressAutoHyphens/>
    </w:pPr>
    <w:rPr>
      <w:rFonts w:ascii="Times New Roman" w:hAnsi="Times New Roman" w:cs="Times New Roman" w:eastAsiaTheme="minorEastAsia"/>
      <w:lang w:val="en-US" w:eastAsia="zh-CN" w:bidi="ar-SA"/>
    </w:rPr>
  </w:style>
  <w:style w:type="paragraph" w:customStyle="1" w:styleId="21">
    <w:name w:val="页眉与页脚"/>
    <w:basedOn w:val="1"/>
    <w:qFormat/>
    <w:uiPriority w:val="0"/>
  </w:style>
  <w:style w:type="paragraph" w:customStyle="1" w:styleId="22">
    <w:name w:val="框架内容"/>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3492</Words>
  <Characters>3585</Characters>
  <Lines>31</Lines>
  <Paragraphs>8</Paragraphs>
  <TotalTime>41</TotalTime>
  <ScaleCrop>false</ScaleCrop>
  <LinksUpToDate>false</LinksUpToDate>
  <CharactersWithSpaces>4157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2022-12-07T02:02:00Z</dcterms:created>
  <dc:creator>lenovo</dc:creator>
  <cp:lastModifiedBy>Just because of you.</cp:lastModifiedBy>
  <dcterms:modified xsi:type="dcterms:W3CDTF">2024-12-05T06:15:10Z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5BCD2D256C0C4905B0AEC97B758402EB_13</vt:lpwstr>
  </property>
  <property fmtid="{D5CDD505-2E9C-101B-9397-08002B2CF9AE}" pid="3" name="KSOProductBuildVer">
    <vt:lpwstr>2052-12.1.0.19302</vt:lpwstr>
  </property>
</Properties>
</file>